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63" w:rsidRDefault="00442992">
      <w:pPr>
        <w:pStyle w:val="Titre1"/>
        <w:keepNext w:val="0"/>
        <w:keepLines w:val="0"/>
        <w:widowControl w:val="0"/>
        <w:spacing w:before="0" w:after="120" w:line="240" w:lineRule="auto"/>
        <w:jc w:val="center"/>
        <w:rPr>
          <w:b/>
          <w:color w:val="404040"/>
          <w:sz w:val="38"/>
          <w:szCs w:val="38"/>
        </w:rPr>
      </w:pPr>
      <w:r>
        <w:rPr>
          <w:b/>
          <w:color w:val="404040"/>
          <w:sz w:val="38"/>
          <w:szCs w:val="38"/>
        </w:rPr>
        <w:t>Termes de Référence</w:t>
      </w:r>
    </w:p>
    <w:p w:rsidR="00376763" w:rsidRDefault="00376763">
      <w:pPr>
        <w:widowControl w:val="0"/>
        <w:spacing w:after="120" w:line="240" w:lineRule="auto"/>
        <w:rPr>
          <w:color w:val="404040"/>
          <w:sz w:val="12"/>
          <w:szCs w:val="12"/>
        </w:rPr>
      </w:pPr>
    </w:p>
    <w:tbl>
      <w:tblPr>
        <w:tblStyle w:val="a"/>
        <w:tblW w:w="9351" w:type="dxa"/>
        <w:tblInd w:w="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2410"/>
        <w:gridCol w:w="6941"/>
      </w:tblGrid>
      <w:tr w:rsidR="00376763" w:rsidTr="00376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tcBorders>
          </w:tcPr>
          <w:p w:rsidR="00376763" w:rsidRDefault="00442992">
            <w:pPr>
              <w:widowControl w:val="0"/>
            </w:pPr>
            <w:r>
              <w:t>Titre du Projet</w:t>
            </w:r>
          </w:p>
        </w:tc>
        <w:tc>
          <w:tcPr>
            <w:tcW w:w="6941" w:type="dxa"/>
            <w:tcBorders>
              <w:top w:val="nil"/>
              <w:right w:val="nil"/>
            </w:tcBorders>
          </w:tcPr>
          <w:p w:rsidR="00376763" w:rsidRDefault="00442992">
            <w:pPr>
              <w:widowControl w:val="0"/>
              <w:cnfStyle w:val="100000000000" w:firstRow="1" w:lastRow="0" w:firstColumn="0" w:lastColumn="0" w:oddVBand="0" w:evenVBand="0" w:oddHBand="0" w:evenHBand="0" w:firstRowFirstColumn="0" w:firstRowLastColumn="0" w:lastRowFirstColumn="0" w:lastRowLastColumn="0"/>
            </w:pPr>
            <w:r>
              <w:t>Programme d’Appui aux Gouvernements Ouverts Francophones #PAGOF</w:t>
            </w:r>
          </w:p>
        </w:tc>
      </w:tr>
      <w:tr w:rsidR="00376763" w:rsidTr="00376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76763" w:rsidRDefault="00442992">
            <w:pPr>
              <w:widowControl w:val="0"/>
            </w:pPr>
            <w:r>
              <w:t>Partenaires</w:t>
            </w:r>
          </w:p>
        </w:tc>
        <w:tc>
          <w:tcPr>
            <w:tcW w:w="6941" w:type="dxa"/>
            <w:tcBorders>
              <w:right w:val="nil"/>
            </w:tcBorders>
          </w:tcPr>
          <w:p w:rsidR="00376763" w:rsidRDefault="00442992">
            <w:pPr>
              <w:widowControl w:val="0"/>
              <w:cnfStyle w:val="000000100000" w:firstRow="0" w:lastRow="0" w:firstColumn="0" w:lastColumn="0" w:oddVBand="0" w:evenVBand="0" w:oddHBand="1" w:evenHBand="0" w:firstRowFirstColumn="0" w:firstRowLastColumn="0" w:lastRowFirstColumn="0" w:lastRowLastColumn="0"/>
              <w:rPr>
                <w:color w:val="404040"/>
              </w:rPr>
            </w:pPr>
            <w:r>
              <w:rPr>
                <w:color w:val="404040"/>
              </w:rPr>
              <w:t>Tunisie, Côte d’Ivoire, Burkina Faso</w:t>
            </w:r>
          </w:p>
        </w:tc>
      </w:tr>
      <w:tr w:rsidR="00376763" w:rsidTr="00376763">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76763" w:rsidRDefault="00442992">
            <w:pPr>
              <w:widowControl w:val="0"/>
            </w:pPr>
            <w:r>
              <w:t>Opérateurs</w:t>
            </w:r>
          </w:p>
        </w:tc>
        <w:tc>
          <w:tcPr>
            <w:tcW w:w="6941" w:type="dxa"/>
            <w:tcBorders>
              <w:right w:val="nil"/>
            </w:tcBorders>
          </w:tcPr>
          <w:p w:rsidR="00376763" w:rsidRDefault="00442992">
            <w:pPr>
              <w:widowControl w:val="0"/>
              <w:cnfStyle w:val="000000000000" w:firstRow="0" w:lastRow="0" w:firstColumn="0" w:lastColumn="0" w:oddVBand="0" w:evenVBand="0" w:oddHBand="0" w:evenHBand="0" w:firstRowFirstColumn="0" w:firstRowLastColumn="0" w:lastRowFirstColumn="0" w:lastRowLastColumn="0"/>
              <w:rPr>
                <w:color w:val="404040"/>
              </w:rPr>
            </w:pPr>
            <w:r>
              <w:rPr>
                <w:color w:val="404040"/>
              </w:rPr>
              <w:t xml:space="preserve">Expertise France et </w:t>
            </w:r>
            <w:proofErr w:type="spellStart"/>
            <w:r>
              <w:rPr>
                <w:color w:val="404040"/>
              </w:rPr>
              <w:t>CFi</w:t>
            </w:r>
            <w:proofErr w:type="spellEnd"/>
          </w:p>
        </w:tc>
      </w:tr>
      <w:tr w:rsidR="00376763" w:rsidTr="00376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76763" w:rsidRDefault="00442992">
            <w:pPr>
              <w:widowControl w:val="0"/>
            </w:pPr>
            <w:r>
              <w:t>Directrice de Projet</w:t>
            </w:r>
          </w:p>
        </w:tc>
        <w:tc>
          <w:tcPr>
            <w:tcW w:w="6941" w:type="dxa"/>
            <w:tcBorders>
              <w:right w:val="nil"/>
            </w:tcBorders>
          </w:tcPr>
          <w:p w:rsidR="00376763" w:rsidRDefault="00442992">
            <w:pPr>
              <w:widowControl w:val="0"/>
              <w:cnfStyle w:val="000000100000" w:firstRow="0" w:lastRow="0" w:firstColumn="0" w:lastColumn="0" w:oddVBand="0" w:evenVBand="0" w:oddHBand="1" w:evenHBand="0" w:firstRowFirstColumn="0" w:firstRowLastColumn="0" w:lastRowFirstColumn="0" w:lastRowLastColumn="0"/>
              <w:rPr>
                <w:color w:val="404040"/>
              </w:rPr>
            </w:pPr>
            <w:r>
              <w:rPr>
                <w:color w:val="404040"/>
              </w:rPr>
              <w:t>Emilie Bècle</w:t>
            </w:r>
          </w:p>
        </w:tc>
      </w:tr>
      <w:tr w:rsidR="00376763" w:rsidTr="00376763">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76763" w:rsidRDefault="00442992">
            <w:pPr>
              <w:widowControl w:val="0"/>
            </w:pPr>
            <w:r>
              <w:t>Email</w:t>
            </w:r>
          </w:p>
        </w:tc>
        <w:tc>
          <w:tcPr>
            <w:tcW w:w="6941" w:type="dxa"/>
            <w:tcBorders>
              <w:right w:val="nil"/>
            </w:tcBorders>
          </w:tcPr>
          <w:p w:rsidR="00376763" w:rsidRDefault="00AD1326">
            <w:pPr>
              <w:widowControl w:val="0"/>
              <w:cnfStyle w:val="000000000000" w:firstRow="0" w:lastRow="0" w:firstColumn="0" w:lastColumn="0" w:oddVBand="0" w:evenVBand="0" w:oddHBand="0" w:evenHBand="0" w:firstRowFirstColumn="0" w:firstRowLastColumn="0" w:lastRowFirstColumn="0" w:lastRowLastColumn="0"/>
              <w:rPr>
                <w:color w:val="404040"/>
              </w:rPr>
            </w:pPr>
            <w:hyperlink r:id="rId7">
              <w:r w:rsidR="00442992">
                <w:rPr>
                  <w:color w:val="0563C1"/>
                  <w:u w:val="single"/>
                </w:rPr>
                <w:t>Emilie.becle@expertisefrance</w:t>
              </w:r>
            </w:hyperlink>
            <w:r w:rsidR="00442992">
              <w:rPr>
                <w:color w:val="0563C1"/>
                <w:u w:val="single"/>
              </w:rPr>
              <w:t>.fr</w:t>
            </w:r>
          </w:p>
        </w:tc>
      </w:tr>
      <w:tr w:rsidR="00376763" w:rsidTr="00376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76763" w:rsidRDefault="00442992">
            <w:pPr>
              <w:widowControl w:val="0"/>
            </w:pPr>
            <w:r>
              <w:t>Pays/institution</w:t>
            </w:r>
          </w:p>
        </w:tc>
        <w:tc>
          <w:tcPr>
            <w:tcW w:w="6941" w:type="dxa"/>
            <w:tcBorders>
              <w:right w:val="nil"/>
            </w:tcBorders>
          </w:tcPr>
          <w:p w:rsidR="00376763" w:rsidRDefault="00AE31FC" w:rsidP="00AE31FC">
            <w:pPr>
              <w:widowControl w:val="0"/>
              <w:cnfStyle w:val="000000100000" w:firstRow="0" w:lastRow="0" w:firstColumn="0" w:lastColumn="0" w:oddVBand="0" w:evenVBand="0" w:oddHBand="1" w:evenHBand="0" w:firstRowFirstColumn="0" w:firstRowLastColumn="0" w:lastRowFirstColumn="0" w:lastRowLastColumn="0"/>
              <w:rPr>
                <w:b/>
                <w:color w:val="404040"/>
              </w:rPr>
            </w:pPr>
            <w:r>
              <w:rPr>
                <w:b/>
                <w:color w:val="404040"/>
              </w:rPr>
              <w:t xml:space="preserve">Tunisie </w:t>
            </w:r>
          </w:p>
        </w:tc>
      </w:tr>
      <w:tr w:rsidR="00376763" w:rsidTr="00376763">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376763" w:rsidRDefault="00442992">
            <w:pPr>
              <w:widowControl w:val="0"/>
            </w:pPr>
            <w:r>
              <w:t>Opérateur sur l’activité</w:t>
            </w:r>
          </w:p>
        </w:tc>
        <w:tc>
          <w:tcPr>
            <w:tcW w:w="6941" w:type="dxa"/>
            <w:tcBorders>
              <w:right w:val="nil"/>
            </w:tcBorders>
          </w:tcPr>
          <w:p w:rsidR="00376763" w:rsidRDefault="00442992">
            <w:pPr>
              <w:widowControl w:val="0"/>
              <w:cnfStyle w:val="000000000000" w:firstRow="0" w:lastRow="0" w:firstColumn="0" w:lastColumn="0" w:oddVBand="0" w:evenVBand="0" w:oddHBand="0" w:evenHBand="0" w:firstRowFirstColumn="0" w:firstRowLastColumn="0" w:lastRowFirstColumn="0" w:lastRowLastColumn="0"/>
              <w:rPr>
                <w:b/>
                <w:color w:val="404040"/>
              </w:rPr>
            </w:pPr>
            <w:r>
              <w:rPr>
                <w:b/>
                <w:color w:val="404040"/>
              </w:rPr>
              <w:t>Expertise France</w:t>
            </w:r>
          </w:p>
        </w:tc>
      </w:tr>
      <w:tr w:rsidR="00376763" w:rsidTr="00376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cBorders>
          </w:tcPr>
          <w:p w:rsidR="00376763" w:rsidRDefault="00442992">
            <w:pPr>
              <w:widowControl w:val="0"/>
            </w:pPr>
            <w:r>
              <w:t>Activité</w:t>
            </w:r>
          </w:p>
        </w:tc>
        <w:tc>
          <w:tcPr>
            <w:tcW w:w="6941" w:type="dxa"/>
            <w:tcBorders>
              <w:bottom w:val="single" w:sz="24" w:space="0" w:color="FFFFFF"/>
              <w:right w:val="nil"/>
            </w:tcBorders>
          </w:tcPr>
          <w:p w:rsidR="00376763" w:rsidRDefault="00EB16E0" w:rsidP="00AE31FC">
            <w:pPr>
              <w:widowControl w:val="0"/>
              <w:cnfStyle w:val="000000100000" w:firstRow="0" w:lastRow="0" w:firstColumn="0" w:lastColumn="0" w:oddVBand="0" w:evenVBand="0" w:oddHBand="1" w:evenHBand="0" w:firstRowFirstColumn="0" w:firstRowLastColumn="0" w:lastRowFirstColumn="0" w:lastRowLastColumn="0"/>
              <w:rPr>
                <w:b/>
                <w:color w:val="404040"/>
              </w:rPr>
            </w:pPr>
            <w:r>
              <w:rPr>
                <w:b/>
                <w:color w:val="404040"/>
              </w:rPr>
              <w:t>B 5 – 5</w:t>
            </w:r>
            <w:r w:rsidR="00442992">
              <w:rPr>
                <w:b/>
                <w:color w:val="404040"/>
              </w:rPr>
              <w:t xml:space="preserve">.1 </w:t>
            </w:r>
            <w:r w:rsidR="00AE31FC">
              <w:rPr>
                <w:b/>
                <w:color w:val="404040"/>
              </w:rPr>
              <w:t xml:space="preserve">Formation </w:t>
            </w:r>
            <w:r>
              <w:rPr>
                <w:b/>
                <w:color w:val="404040"/>
              </w:rPr>
              <w:t xml:space="preserve">sur </w:t>
            </w:r>
            <w:r w:rsidRPr="00EB16E0">
              <w:rPr>
                <w:b/>
                <w:color w:val="404040"/>
              </w:rPr>
              <w:t>l’ouverture des données</w:t>
            </w:r>
            <w:r>
              <w:rPr>
                <w:b/>
                <w:color w:val="404040"/>
              </w:rPr>
              <w:t xml:space="preserve"> publiques statiques et de type  « real time » dans le</w:t>
            </w:r>
            <w:r w:rsidRPr="00EB16E0">
              <w:rPr>
                <w:b/>
                <w:color w:val="404040"/>
              </w:rPr>
              <w:t xml:space="preserve"> secteur des transports</w:t>
            </w:r>
          </w:p>
        </w:tc>
      </w:tr>
    </w:tbl>
    <w:p w:rsidR="00376763" w:rsidRDefault="00376763">
      <w:pPr>
        <w:widowControl w:val="0"/>
        <w:spacing w:after="120" w:line="240" w:lineRule="auto"/>
        <w:rPr>
          <w:color w:val="404040"/>
        </w:rPr>
      </w:pPr>
    </w:p>
    <w:p w:rsidR="00376763" w:rsidRDefault="00EB16E0">
      <w:pPr>
        <w:pStyle w:val="Titre1"/>
        <w:keepNext w:val="0"/>
        <w:keepLines w:val="0"/>
        <w:widowControl w:val="0"/>
        <w:spacing w:before="0" w:after="120" w:line="240" w:lineRule="auto"/>
        <w:jc w:val="both"/>
        <w:rPr>
          <w:b/>
          <w:color w:val="000000"/>
          <w:sz w:val="40"/>
          <w:szCs w:val="40"/>
        </w:rPr>
      </w:pPr>
      <w:r>
        <w:rPr>
          <w:b/>
          <w:color w:val="404040"/>
        </w:rPr>
        <w:t xml:space="preserve">Formation sur </w:t>
      </w:r>
      <w:r w:rsidRPr="00EB16E0">
        <w:rPr>
          <w:b/>
          <w:color w:val="404040"/>
        </w:rPr>
        <w:t>l’ouverture des données</w:t>
      </w:r>
      <w:r>
        <w:rPr>
          <w:b/>
          <w:color w:val="404040"/>
        </w:rPr>
        <w:t xml:space="preserve"> publiques statiques et de type  « real time » dans le</w:t>
      </w:r>
      <w:r w:rsidRPr="00EB16E0">
        <w:rPr>
          <w:b/>
          <w:color w:val="404040"/>
        </w:rPr>
        <w:t xml:space="preserve"> secteur des transports</w:t>
      </w:r>
      <w:r>
        <w:rPr>
          <w:b/>
          <w:color w:val="000000"/>
        </w:rPr>
        <w:t xml:space="preserve"> (B 5 – Activité 5</w:t>
      </w:r>
      <w:r w:rsidR="00442992">
        <w:rPr>
          <w:b/>
          <w:color w:val="000000"/>
        </w:rPr>
        <w:t>.1)</w:t>
      </w:r>
    </w:p>
    <w:p w:rsidR="00376763" w:rsidRDefault="00376763">
      <w:pPr>
        <w:pStyle w:val="Titre1"/>
        <w:keepNext w:val="0"/>
        <w:keepLines w:val="0"/>
        <w:widowControl w:val="0"/>
        <w:spacing w:before="0" w:after="120" w:line="240" w:lineRule="auto"/>
        <w:rPr>
          <w:color w:val="404040"/>
          <w:sz w:val="12"/>
          <w:szCs w:val="12"/>
        </w:rPr>
      </w:pPr>
    </w:p>
    <w:p w:rsidR="00376763" w:rsidRDefault="00442992">
      <w:pPr>
        <w:pStyle w:val="Titre1"/>
        <w:spacing w:before="0" w:after="120" w:line="240" w:lineRule="auto"/>
      </w:pPr>
      <w:r>
        <w:t>Description et contexte du PAGOF</w:t>
      </w:r>
    </w:p>
    <w:p w:rsidR="00376763" w:rsidRDefault="00442992">
      <w:pPr>
        <w:jc w:val="both"/>
      </w:pPr>
      <w:r>
        <w:t xml:space="preserve">Lors de sa co-présidence du Partenariat pour un Gouvernement Ouvert (PGO - sept. 16-sept. 17), la France s’est engagée à soutenir la transparence de l’action publique au niveau international en affichant un soutien aux pays francophones dans la mise en œuvre de leur plan d’action. Dans cette perspective, l’AFD a instruit et financé le </w:t>
      </w:r>
      <w:r>
        <w:rPr>
          <w:b/>
        </w:rPr>
        <w:t>Projet d’Appui aux Gouvernements Ouverts Francophones (PAGOF)</w:t>
      </w:r>
      <w:r>
        <w:t>.</w:t>
      </w:r>
    </w:p>
    <w:p w:rsidR="00376763" w:rsidRDefault="00442992">
      <w:pPr>
        <w:jc w:val="both"/>
      </w:pPr>
      <w:r>
        <w:t xml:space="preserve">Sur cette base l’AFD a décidé de confier à Expertise France (Agence française d’Expertise Technique Internationale) et </w:t>
      </w:r>
      <w:proofErr w:type="spellStart"/>
      <w:r>
        <w:t>CFi</w:t>
      </w:r>
      <w:proofErr w:type="spellEnd"/>
      <w:r>
        <w:t xml:space="preserve"> (Agence Française de coopération médias) ce projet d’Assistance Technique sur une durée de 3 ans à destination des pays d’Afrique francophone, et ainsi d’accompagner ces derniers dans la mise en œuvre de leur réforme de gouvernement ouvert. Ce volet cible en priorité les 3 pays déjà membres de l’initiative internationale (Tunisie, Burkina Faso et Côte d’Ivoire).</w:t>
      </w:r>
    </w:p>
    <w:p w:rsidR="00376763" w:rsidRDefault="00442992">
      <w:pPr>
        <w:jc w:val="both"/>
      </w:pPr>
      <w:r>
        <w:t xml:space="preserve">L’objectif général du #PAGOF 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des pays d’Afrique francophone dans leur démarche d’adhésion au PGO. Dans ce cadre, Expertise France se chargera plus particulièrement de l’appui aux autorités, et </w:t>
      </w:r>
      <w:proofErr w:type="spellStart"/>
      <w:r>
        <w:t>CFi</w:t>
      </w:r>
      <w:proofErr w:type="spellEnd"/>
      <w:r>
        <w:t xml:space="preserve"> de l’appui aux organisations de la société civile (dont les médias).</w:t>
      </w:r>
    </w:p>
    <w:p w:rsidR="00376763" w:rsidRDefault="00442992">
      <w:pPr>
        <w:jc w:val="both"/>
      </w:pPr>
      <w:r>
        <w:t>Deux axes d’intervention ont été priorisés pour chaque pays : le premier (Axe A) se concentre sur des activités de sensibilisation aux principes de gouvernement ouvert et principes méthodologiques liés au PGO ; le second (Axe B) s’attache à appuyer la mise en œuvre technique des Engagements pris par chaque pays dans le cadre de leur Plan d’Action National (PAN).</w:t>
      </w:r>
    </w:p>
    <w:p w:rsidR="00376763" w:rsidRDefault="00376763">
      <w:pPr>
        <w:pStyle w:val="Titre1"/>
        <w:spacing w:before="0" w:after="120" w:line="240" w:lineRule="auto"/>
      </w:pPr>
    </w:p>
    <w:p w:rsidR="00376763" w:rsidRDefault="00442992">
      <w:pPr>
        <w:pStyle w:val="Titre1"/>
        <w:spacing w:before="0" w:after="120" w:line="240" w:lineRule="auto"/>
      </w:pPr>
      <w:r>
        <w:t>Description des Objectifs de l’activité</w:t>
      </w:r>
    </w:p>
    <w:p w:rsidR="00376763" w:rsidRPr="00B345BE" w:rsidRDefault="00442992">
      <w:pPr>
        <w:widowControl w:val="0"/>
        <w:spacing w:after="120" w:line="240" w:lineRule="auto"/>
        <w:jc w:val="both"/>
      </w:pPr>
      <w:r w:rsidRPr="00B345BE">
        <w:t>L’activité s’exerce dans</w:t>
      </w:r>
      <w:r w:rsidR="00EB16E0" w:rsidRPr="00B345BE">
        <w:t xml:space="preserve"> le cadre de l’Engagement 4</w:t>
      </w:r>
      <w:r w:rsidR="00AE31FC" w:rsidRPr="00B345BE">
        <w:t xml:space="preserve"> du 3ème PAN de la Tunisie (2018-2020</w:t>
      </w:r>
      <w:r w:rsidRPr="00B345BE">
        <w:t>) : « </w:t>
      </w:r>
      <w:r w:rsidR="00B345BE" w:rsidRPr="00B345BE">
        <w:t xml:space="preserve">Normaliser les identifiants et les nomenclatures des stations du transport terrestre et ouvrir leurs données publiques associées dans un format ouvert </w:t>
      </w:r>
      <w:r w:rsidRPr="00B345BE">
        <w:t xml:space="preserve">». </w:t>
      </w:r>
    </w:p>
    <w:p w:rsidR="00B345BE" w:rsidRPr="00B345BE" w:rsidRDefault="00151A10">
      <w:pPr>
        <w:widowControl w:val="0"/>
        <w:spacing w:after="120" w:line="240" w:lineRule="auto"/>
        <w:jc w:val="both"/>
      </w:pPr>
      <w:r w:rsidRPr="00151A10">
        <w:t xml:space="preserve">Cet engagement </w:t>
      </w:r>
      <w:r w:rsidR="00B345BE" w:rsidRPr="00B345BE">
        <w:t xml:space="preserve">s’intéresse au renforcement de l’ouverture des données publiques et à leur réutilisation et l’information des usagers du transport terrestre, par la conception, la mise en place et l’ouverture au public d’une base de données harmonisée </w:t>
      </w:r>
      <w:r w:rsidR="00B345BE" w:rsidRPr="00B345BE">
        <w:rPr>
          <w:rtl/>
        </w:rPr>
        <w:t>"</w:t>
      </w:r>
      <w:r w:rsidR="00B345BE" w:rsidRPr="00B345BE">
        <w:t>Référentiel National d’Arrêts</w:t>
      </w:r>
      <w:r w:rsidR="00B345BE" w:rsidRPr="00B345BE">
        <w:rPr>
          <w:rtl/>
        </w:rPr>
        <w:t>"</w:t>
      </w:r>
      <w:r w:rsidR="00B345BE" w:rsidRPr="00B345BE">
        <w:t>. Cette base de données devrait permettre d’unifier les identifiants et les nomenclatures, de collecter toutes les données associées à l’instar des coordonnées géographiques et de les publier dans un format ouvert pour faciliter leur réutilisation pour le développement des services  destinées aux usagers (via Internet et smartphones).</w:t>
      </w:r>
    </w:p>
    <w:p w:rsidR="00376763" w:rsidRDefault="00151A10">
      <w:pPr>
        <w:widowControl w:val="0"/>
        <w:spacing w:after="120" w:line="240" w:lineRule="auto"/>
        <w:jc w:val="both"/>
      </w:pPr>
      <w:r>
        <w:t>Les objectifs plus précis de cet Engagement sont les suivants :</w:t>
      </w:r>
    </w:p>
    <w:p w:rsidR="00B345BE" w:rsidRPr="00B345BE" w:rsidRDefault="00B345BE" w:rsidP="008C102A">
      <w:pPr>
        <w:pStyle w:val="Paragraphedeliste"/>
        <w:widowControl w:val="0"/>
        <w:numPr>
          <w:ilvl w:val="0"/>
          <w:numId w:val="7"/>
        </w:numPr>
        <w:spacing w:after="120" w:line="240" w:lineRule="auto"/>
        <w:jc w:val="both"/>
      </w:pPr>
      <w:r w:rsidRPr="00AD1326">
        <w:rPr>
          <w:color w:val="000000" w:themeColor="text1"/>
        </w:rPr>
        <w:t>L’inventaire des différent</w:t>
      </w:r>
      <w:r w:rsidR="008C102A" w:rsidRPr="00AD1326">
        <w:rPr>
          <w:color w:val="000000" w:themeColor="text1"/>
        </w:rPr>
        <w:t>e</w:t>
      </w:r>
      <w:r w:rsidRPr="00AD1326">
        <w:rPr>
          <w:color w:val="000000" w:themeColor="text1"/>
        </w:rPr>
        <w:t xml:space="preserve">s </w:t>
      </w:r>
      <w:r w:rsidR="008C102A" w:rsidRPr="00AD1326">
        <w:rPr>
          <w:color w:val="000000" w:themeColor="text1"/>
        </w:rPr>
        <w:t>stations de transport régulier</w:t>
      </w:r>
      <w:r w:rsidRPr="00AD1326">
        <w:rPr>
          <w:color w:val="000000" w:themeColor="text1"/>
        </w:rPr>
        <w:t xml:space="preserve"> (bus, mé</w:t>
      </w:r>
      <w:r w:rsidR="008C102A" w:rsidRPr="00AD1326">
        <w:rPr>
          <w:color w:val="000000" w:themeColor="text1"/>
        </w:rPr>
        <w:t>tros, trains,…) et non régulier</w:t>
      </w:r>
      <w:r w:rsidRPr="00AD1326">
        <w:rPr>
          <w:color w:val="000000" w:themeColor="text1"/>
        </w:rPr>
        <w:t xml:space="preserve"> (louages, taxis collectifs, transport rural,…) couvrant le territoire et le recueil de toutes les données relatives aux stations : types, caractéristiques, équipements, modes d’éclairage, modalités d’accessibilité des personnes à mobilité réduite, coordonnées géographiques, référents administratifs</w:t>
      </w:r>
      <w:r w:rsidRPr="00B345BE">
        <w:t>, propriétaires de la station, gérants, ainsi que des photos prises sous différents angles de vue ;</w:t>
      </w:r>
    </w:p>
    <w:p w:rsidR="00B345BE" w:rsidRPr="00B345BE" w:rsidRDefault="00B345BE" w:rsidP="00B345BE">
      <w:pPr>
        <w:pStyle w:val="Paragraphedeliste"/>
        <w:widowControl w:val="0"/>
        <w:numPr>
          <w:ilvl w:val="0"/>
          <w:numId w:val="7"/>
        </w:numPr>
        <w:spacing w:after="120" w:line="240" w:lineRule="auto"/>
        <w:jc w:val="both"/>
      </w:pPr>
      <w:r w:rsidRPr="00B345BE">
        <w:t>L’unification des identifications (codification) et des nomenclatures surtout pour les stations communément utilisées par différentes sociétés de transport ;</w:t>
      </w:r>
    </w:p>
    <w:p w:rsidR="00B345BE" w:rsidRPr="00B345BE" w:rsidRDefault="00B345BE" w:rsidP="00B345BE">
      <w:pPr>
        <w:pStyle w:val="Paragraphedeliste"/>
        <w:widowControl w:val="0"/>
        <w:numPr>
          <w:ilvl w:val="0"/>
          <w:numId w:val="7"/>
        </w:numPr>
        <w:spacing w:after="120" w:line="240" w:lineRule="auto"/>
        <w:jc w:val="both"/>
      </w:pPr>
      <w:r w:rsidRPr="00B345BE">
        <w:t>La conception et la mise en place d’une base de données regroupant les stations de transport terrestre, à l’échelle nationale ;</w:t>
      </w:r>
    </w:p>
    <w:p w:rsidR="004651D7" w:rsidRDefault="00B345BE" w:rsidP="00B345BE">
      <w:pPr>
        <w:pStyle w:val="Paragraphedeliste"/>
        <w:widowControl w:val="0"/>
        <w:numPr>
          <w:ilvl w:val="0"/>
          <w:numId w:val="7"/>
        </w:numPr>
        <w:spacing w:after="120" w:line="240" w:lineRule="auto"/>
        <w:jc w:val="both"/>
      </w:pPr>
      <w:r w:rsidRPr="00B345BE">
        <w:t xml:space="preserve">L’ouverture de la base de données au public, afin de faciliter sa réutilisation en vue d’améliorer les services fournis aux voyageurs. </w:t>
      </w:r>
    </w:p>
    <w:p w:rsidR="00492EB8" w:rsidRDefault="00492EB8" w:rsidP="004651D7">
      <w:pPr>
        <w:widowControl w:val="0"/>
        <w:spacing w:after="120" w:line="240" w:lineRule="auto"/>
        <w:jc w:val="both"/>
      </w:pPr>
      <w:r>
        <w:t>Cependant ces objectifs se heurtent à certaines difficultés :</w:t>
      </w:r>
    </w:p>
    <w:p w:rsidR="004651D7" w:rsidRDefault="004651D7" w:rsidP="004651D7">
      <w:pPr>
        <w:pStyle w:val="Paragraphedeliste"/>
        <w:widowControl w:val="0"/>
        <w:numPr>
          <w:ilvl w:val="0"/>
          <w:numId w:val="7"/>
        </w:numPr>
        <w:spacing w:after="120" w:line="240" w:lineRule="auto"/>
        <w:jc w:val="both"/>
      </w:pPr>
      <w:r w:rsidRPr="004651D7">
        <w:t>Indisponibilité, à l’échelle nationale, de données unifiées et actualisées concernant le transport terrestre, ce qui rend difficile l’accès des citoyens à l’information d’une manière simple et efficace.</w:t>
      </w:r>
    </w:p>
    <w:p w:rsidR="00CF4A0B" w:rsidRDefault="004651D7" w:rsidP="004651D7">
      <w:pPr>
        <w:pStyle w:val="Paragraphedeliste"/>
        <w:widowControl w:val="0"/>
        <w:numPr>
          <w:ilvl w:val="0"/>
          <w:numId w:val="7"/>
        </w:numPr>
        <w:spacing w:after="120" w:line="240" w:lineRule="auto"/>
        <w:jc w:val="both"/>
      </w:pPr>
      <w:r w:rsidRPr="004651D7">
        <w:t>En outre, l’absence de ce genre d’informations entrave le développement d’applications et de services électroniques spécifiques au secteur du transport.</w:t>
      </w:r>
    </w:p>
    <w:p w:rsidR="00376763" w:rsidRDefault="00442992" w:rsidP="00CF4A0B">
      <w:pPr>
        <w:widowControl w:val="0"/>
        <w:spacing w:after="120" w:line="240" w:lineRule="auto"/>
        <w:jc w:val="both"/>
      </w:pPr>
      <w:r>
        <w:t>Afin de contribuer à la réalisation de cet engagement, il est essentiel d’instaurer des pratiques commune</w:t>
      </w:r>
      <w:r w:rsidR="00C21392">
        <w:t>s de publication des données</w:t>
      </w:r>
      <w:r>
        <w:t xml:space="preserve"> et de pouvoir répondre aux interrogations suivantes :</w:t>
      </w:r>
    </w:p>
    <w:p w:rsidR="00376763" w:rsidRDefault="0037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442992" w:rsidRDefault="00442992" w:rsidP="00442992">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color w:val="000000"/>
        </w:rPr>
      </w:pPr>
      <w:r w:rsidRPr="00442992">
        <w:rPr>
          <w:color w:val="000000"/>
        </w:rPr>
        <w:t xml:space="preserve">Quel format choisir pour que les données soient utilisables, et comment favoriser les usages et identifier les </w:t>
      </w:r>
      <w:proofErr w:type="spellStart"/>
      <w:r w:rsidRPr="00442992">
        <w:rPr>
          <w:color w:val="000000"/>
        </w:rPr>
        <w:t>réutilisateurs</w:t>
      </w:r>
      <w:proofErr w:type="spellEnd"/>
      <w:r w:rsidRPr="00442992">
        <w:rPr>
          <w:color w:val="000000"/>
        </w:rPr>
        <w:t xml:space="preserve"> ? </w:t>
      </w:r>
    </w:p>
    <w:p w:rsidR="00C21392" w:rsidRDefault="00C21392" w:rsidP="00442992">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color w:val="000000"/>
        </w:rPr>
      </w:pPr>
      <w:r>
        <w:rPr>
          <w:color w:val="000000"/>
        </w:rPr>
        <w:t>Quel est le langage open-source le plus adapté ?</w:t>
      </w:r>
    </w:p>
    <w:p w:rsidR="00D01988" w:rsidRDefault="00D01988" w:rsidP="00442992">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color w:val="000000"/>
        </w:rPr>
      </w:pPr>
      <w:r>
        <w:rPr>
          <w:color w:val="000000"/>
        </w:rPr>
        <w:t xml:space="preserve">Quelles sont les normes et standards internationales pour </w:t>
      </w:r>
      <w:r w:rsidR="00047305">
        <w:rPr>
          <w:color w:val="000000"/>
        </w:rPr>
        <w:t>ce type de données</w:t>
      </w:r>
      <w:r w:rsidR="00AC0D0D">
        <w:rPr>
          <w:color w:val="000000"/>
        </w:rPr>
        <w:t> ?</w:t>
      </w:r>
    </w:p>
    <w:p w:rsidR="00AC0D0D" w:rsidRPr="00442992" w:rsidRDefault="00AC0D0D" w:rsidP="00442992">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color w:val="000000"/>
        </w:rPr>
      </w:pPr>
      <w:r>
        <w:rPr>
          <w:color w:val="000000"/>
        </w:rPr>
        <w:t>Quels sont les types de format d’échange adéquat ?</w:t>
      </w:r>
    </w:p>
    <w:p w:rsidR="00442992" w:rsidRPr="00442992" w:rsidRDefault="00442992" w:rsidP="00442992">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color w:val="000000"/>
        </w:rPr>
      </w:pPr>
      <w:r w:rsidRPr="00442992">
        <w:rPr>
          <w:color w:val="000000"/>
        </w:rPr>
        <w:t xml:space="preserve">Où et comment publier ces données ? Sous quelles licences ? </w:t>
      </w:r>
    </w:p>
    <w:p w:rsidR="00376763" w:rsidRPr="00442992" w:rsidRDefault="00442992" w:rsidP="00442992">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color w:val="000000"/>
        </w:rPr>
      </w:pPr>
      <w:r w:rsidRPr="00442992">
        <w:rPr>
          <w:color w:val="000000"/>
        </w:rPr>
        <w:t>Comment adapter le système d’information et les outils de communication ? Comment accompagner la démarche en interne ?</w:t>
      </w:r>
    </w:p>
    <w:p w:rsidR="00376763" w:rsidRDefault="0037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376763" w:rsidRDefault="0037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76763" w:rsidRDefault="00442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l’activité est </w:t>
      </w:r>
      <w:r w:rsidR="00C21392">
        <w:t xml:space="preserve">de </w:t>
      </w:r>
      <w:r>
        <w:t>:</w:t>
      </w:r>
    </w:p>
    <w:p w:rsidR="00376763" w:rsidRDefault="0037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376763" w:rsidRPr="00047305" w:rsidRDefault="00442992" w:rsidP="00D01988">
      <w:pPr>
        <w:widowControl w:val="0"/>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pPr>
      <w:r w:rsidRPr="00D01988">
        <w:rPr>
          <w:color w:val="000000"/>
        </w:rPr>
        <w:t xml:space="preserve">Réaliser une formation </w:t>
      </w:r>
      <w:r w:rsidR="00D01988">
        <w:rPr>
          <w:color w:val="000000"/>
        </w:rPr>
        <w:t>pour des</w:t>
      </w:r>
      <w:r w:rsidR="00D01988" w:rsidRPr="00D01988">
        <w:rPr>
          <w:color w:val="000000"/>
        </w:rPr>
        <w:t xml:space="preserve"> technicien</w:t>
      </w:r>
      <w:r w:rsidR="00FA7476">
        <w:rPr>
          <w:color w:val="000000"/>
        </w:rPr>
        <w:t>s/administrateurs de la donnée</w:t>
      </w:r>
      <w:r w:rsidR="00D01988" w:rsidRPr="00D01988">
        <w:rPr>
          <w:color w:val="000000"/>
        </w:rPr>
        <w:t xml:space="preserve"> </w:t>
      </w:r>
      <w:r w:rsidR="00FA7476" w:rsidRPr="00FA7476">
        <w:rPr>
          <w:rFonts w:eastAsia="Times New Roman" w:cs="Times New Roman"/>
        </w:rPr>
        <w:t xml:space="preserve">sur les standards et les formats spécifiques pour </w:t>
      </w:r>
      <w:r w:rsidR="00FA7476">
        <w:rPr>
          <w:rFonts w:eastAsia="Times New Roman" w:cs="Times New Roman"/>
        </w:rPr>
        <w:t>le secteur des transports</w:t>
      </w:r>
      <w:r w:rsidR="00AC0D0D">
        <w:rPr>
          <w:rFonts w:eastAsia="Times New Roman" w:cs="Times New Roman"/>
        </w:rPr>
        <w:t xml:space="preserve"> (notamment données statiques et real time)</w:t>
      </w:r>
    </w:p>
    <w:p w:rsidR="00047305" w:rsidRDefault="00047305" w:rsidP="00047305">
      <w:pPr>
        <w:spacing w:before="160" w:after="0" w:line="240" w:lineRule="auto"/>
        <w:rPr>
          <w:color w:val="000000"/>
        </w:rPr>
      </w:pPr>
    </w:p>
    <w:p w:rsidR="00047305" w:rsidRPr="00AD1326" w:rsidRDefault="00047305" w:rsidP="008C102A">
      <w:pPr>
        <w:spacing w:before="160" w:after="120" w:line="240" w:lineRule="auto"/>
        <w:jc w:val="both"/>
        <w:rPr>
          <w:color w:val="000000" w:themeColor="text1"/>
        </w:rPr>
      </w:pPr>
      <w:r w:rsidRPr="00AD1326">
        <w:rPr>
          <w:color w:val="000000" w:themeColor="text1"/>
        </w:rPr>
        <w:lastRenderedPageBreak/>
        <w:t xml:space="preserve">Plus </w:t>
      </w:r>
      <w:r w:rsidR="008C102A" w:rsidRPr="00AD1326">
        <w:rPr>
          <w:color w:val="000000" w:themeColor="text1"/>
        </w:rPr>
        <w:t>précisément</w:t>
      </w:r>
      <w:r w:rsidRPr="00AD1326">
        <w:rPr>
          <w:color w:val="000000" w:themeColor="text1"/>
        </w:rPr>
        <w:t>, la formation portera</w:t>
      </w:r>
      <w:r w:rsidR="008C102A" w:rsidRPr="00AD1326">
        <w:rPr>
          <w:color w:val="000000" w:themeColor="text1"/>
        </w:rPr>
        <w:t xml:space="preserve"> notamment sur les thèmes suivants (surtout à travers des cas pratiques):</w:t>
      </w:r>
      <w:r w:rsidRPr="00AD1326">
        <w:rPr>
          <w:color w:val="000000" w:themeColor="text1"/>
        </w:rPr>
        <w:t xml:space="preserve"> </w:t>
      </w:r>
    </w:p>
    <w:p w:rsidR="00047305" w:rsidRPr="00AD1326" w:rsidRDefault="00047305" w:rsidP="00AC0D0D">
      <w:pPr>
        <w:pStyle w:val="Paragraphedeliste"/>
        <w:numPr>
          <w:ilvl w:val="0"/>
          <w:numId w:val="2"/>
        </w:numPr>
        <w:jc w:val="both"/>
        <w:rPr>
          <w:color w:val="000000" w:themeColor="text1"/>
        </w:rPr>
      </w:pPr>
      <w:r w:rsidRPr="00AD1326">
        <w:rPr>
          <w:color w:val="000000" w:themeColor="text1"/>
        </w:rPr>
        <w:t xml:space="preserve">les formats d’échange tels que GTFS pour les données théoriques (en plus d'autres formats tels que Neptune ou </w:t>
      </w:r>
      <w:proofErr w:type="spellStart"/>
      <w:r w:rsidRPr="00AD1326">
        <w:rPr>
          <w:color w:val="000000" w:themeColor="text1"/>
        </w:rPr>
        <w:t>Netex</w:t>
      </w:r>
      <w:proofErr w:type="spellEnd"/>
      <w:r w:rsidRPr="00AD1326">
        <w:rPr>
          <w:color w:val="000000" w:themeColor="text1"/>
        </w:rPr>
        <w:t xml:space="preserve">) et GTFS Real Time pour les données temps réel (en plus du format </w:t>
      </w:r>
      <w:proofErr w:type="spellStart"/>
      <w:r w:rsidRPr="00AD1326">
        <w:rPr>
          <w:color w:val="000000" w:themeColor="text1"/>
        </w:rPr>
        <w:t>Siri</w:t>
      </w:r>
      <w:proofErr w:type="spellEnd"/>
      <w:r w:rsidRPr="00AD1326">
        <w:rPr>
          <w:color w:val="000000" w:themeColor="text1"/>
        </w:rPr>
        <w:t>,...), les modèles de données T</w:t>
      </w:r>
      <w:r w:rsidR="008C102A" w:rsidRPr="00AD1326">
        <w:rPr>
          <w:color w:val="000000" w:themeColor="text1"/>
        </w:rPr>
        <w:t>ransport (</w:t>
      </w:r>
      <w:proofErr w:type="spellStart"/>
      <w:r w:rsidR="008C102A" w:rsidRPr="00AD1326">
        <w:rPr>
          <w:color w:val="000000" w:themeColor="text1"/>
        </w:rPr>
        <w:t>Transmodel</w:t>
      </w:r>
      <w:proofErr w:type="spellEnd"/>
      <w:r w:rsidR="008C102A" w:rsidRPr="00AD1326">
        <w:rPr>
          <w:color w:val="000000" w:themeColor="text1"/>
        </w:rPr>
        <w:t xml:space="preserve">, </w:t>
      </w:r>
      <w:proofErr w:type="spellStart"/>
      <w:r w:rsidR="008C102A" w:rsidRPr="00AD1326">
        <w:rPr>
          <w:color w:val="000000" w:themeColor="text1"/>
        </w:rPr>
        <w:t>Ifopt</w:t>
      </w:r>
      <w:proofErr w:type="spellEnd"/>
      <w:r w:rsidR="008C102A" w:rsidRPr="00AD1326">
        <w:rPr>
          <w:color w:val="000000" w:themeColor="text1"/>
        </w:rPr>
        <w:t xml:space="preserve">, …) : </w:t>
      </w:r>
      <w:r w:rsidR="005F0298" w:rsidRPr="00AD1326">
        <w:rPr>
          <w:color w:val="000000" w:themeColor="text1"/>
        </w:rPr>
        <w:t xml:space="preserve">Bonnes pratiques, </w:t>
      </w:r>
      <w:proofErr w:type="spellStart"/>
      <w:r w:rsidR="005F0298" w:rsidRPr="00AD1326">
        <w:rPr>
          <w:color w:val="000000" w:themeColor="text1"/>
        </w:rPr>
        <w:t>etc</w:t>
      </w:r>
      <w:proofErr w:type="spellEnd"/>
      <w:r w:rsidR="005F0298" w:rsidRPr="00AD1326">
        <w:rPr>
          <w:color w:val="000000" w:themeColor="text1"/>
        </w:rPr>
        <w:t xml:space="preserve"> …</w:t>
      </w:r>
    </w:p>
    <w:p w:rsidR="00047305" w:rsidRPr="00AD1326" w:rsidRDefault="00047305" w:rsidP="005F0298">
      <w:pPr>
        <w:pStyle w:val="Paragraphedeliste"/>
        <w:numPr>
          <w:ilvl w:val="0"/>
          <w:numId w:val="2"/>
        </w:numPr>
        <w:jc w:val="both"/>
        <w:rPr>
          <w:color w:val="000000" w:themeColor="text1"/>
        </w:rPr>
      </w:pPr>
      <w:r w:rsidRPr="00AD1326">
        <w:rPr>
          <w:color w:val="000000" w:themeColor="text1"/>
        </w:rPr>
        <w:t xml:space="preserve">les démarches et les règles à adopter pour harmoniser les données relatives aux arrêts </w:t>
      </w:r>
      <w:r w:rsidR="005F0298" w:rsidRPr="00AD1326">
        <w:rPr>
          <w:color w:val="000000" w:themeColor="text1"/>
        </w:rPr>
        <w:t>du transport terrestre, c’est-à-dire routier et ferroviaire (</w:t>
      </w:r>
      <w:r w:rsidRPr="00AD1326">
        <w:rPr>
          <w:color w:val="000000" w:themeColor="text1"/>
        </w:rPr>
        <w:t>action importante de</w:t>
      </w:r>
      <w:r w:rsidR="005F0298" w:rsidRPr="00AD1326">
        <w:rPr>
          <w:color w:val="000000" w:themeColor="text1"/>
        </w:rPr>
        <w:t xml:space="preserve"> l'engagement), notamment en </w:t>
      </w:r>
      <w:proofErr w:type="gramStart"/>
      <w:r w:rsidR="005F0298" w:rsidRPr="00AD1326">
        <w:rPr>
          <w:color w:val="000000" w:themeColor="text1"/>
        </w:rPr>
        <w:t>terme</w:t>
      </w:r>
      <w:proofErr w:type="gramEnd"/>
      <w:r w:rsidR="005F0298" w:rsidRPr="00AD1326">
        <w:rPr>
          <w:color w:val="000000" w:themeColor="text1"/>
        </w:rPr>
        <w:t xml:space="preserve"> de nomenclature et de codification</w:t>
      </w:r>
    </w:p>
    <w:p w:rsidR="00047305" w:rsidRPr="00AD1326" w:rsidRDefault="00047305" w:rsidP="00047305">
      <w:pPr>
        <w:pStyle w:val="Paragraphedeliste"/>
        <w:numPr>
          <w:ilvl w:val="0"/>
          <w:numId w:val="2"/>
        </w:numPr>
        <w:jc w:val="both"/>
        <w:rPr>
          <w:color w:val="000000" w:themeColor="text1"/>
        </w:rPr>
      </w:pPr>
      <w:r w:rsidRPr="00AD1326">
        <w:rPr>
          <w:color w:val="000000" w:themeColor="text1"/>
        </w:rPr>
        <w:t xml:space="preserve">les outils de validation de la conformité des jeux de données aux standards (exemple </w:t>
      </w:r>
      <w:proofErr w:type="spellStart"/>
      <w:r w:rsidRPr="00AD1326">
        <w:rPr>
          <w:color w:val="000000" w:themeColor="text1"/>
        </w:rPr>
        <w:t>feed</w:t>
      </w:r>
      <w:proofErr w:type="spellEnd"/>
      <w:r w:rsidRPr="00AD1326">
        <w:rPr>
          <w:color w:val="000000" w:themeColor="text1"/>
        </w:rPr>
        <w:t xml:space="preserve"> </w:t>
      </w:r>
      <w:proofErr w:type="spellStart"/>
      <w:r w:rsidRPr="00AD1326">
        <w:rPr>
          <w:color w:val="000000" w:themeColor="text1"/>
        </w:rPr>
        <w:t>validator</w:t>
      </w:r>
      <w:proofErr w:type="spellEnd"/>
      <w:r w:rsidRPr="00AD1326">
        <w:rPr>
          <w:color w:val="000000" w:themeColor="text1"/>
        </w:rPr>
        <w:t xml:space="preserve"> pour GTFS), les techniques pour extraire et publier automatiquement les données contenues dans les systèmes d’information sur les portails Open data (notamment pour assurer la mise à jour de ces données), </w:t>
      </w:r>
      <w:proofErr w:type="spellStart"/>
      <w:r w:rsidRPr="00AD1326">
        <w:rPr>
          <w:color w:val="000000" w:themeColor="text1"/>
        </w:rPr>
        <w:t>etc</w:t>
      </w:r>
      <w:proofErr w:type="spellEnd"/>
      <w:r w:rsidRPr="00AD1326">
        <w:rPr>
          <w:color w:val="000000" w:themeColor="text1"/>
        </w:rPr>
        <w:t xml:space="preserve"> ...</w:t>
      </w:r>
    </w:p>
    <w:p w:rsidR="00AD1326" w:rsidRPr="00AD1326" w:rsidRDefault="00AD1326" w:rsidP="00AD1326">
      <w:pPr>
        <w:pStyle w:val="Paragraphedeliste"/>
        <w:numPr>
          <w:ilvl w:val="0"/>
          <w:numId w:val="2"/>
        </w:numPr>
        <w:jc w:val="both"/>
        <w:rPr>
          <w:color w:val="000000" w:themeColor="text1"/>
        </w:rPr>
      </w:pPr>
      <w:r w:rsidRPr="00AD1326">
        <w:rPr>
          <w:color w:val="000000" w:themeColor="text1"/>
        </w:rPr>
        <w:t>Un ou plusieurs cas pratiques : par exemple : travailler sur une dizaine de stations terrestres à cartographier (principales gares routières et ferroviaires pour commencer) et mettre au format GTFS. L’idée serait d’avoir un modèle, les principales stations, et réfléchir avec le formateur à la meilleure façon d'automatiser le reste.</w:t>
      </w:r>
    </w:p>
    <w:p w:rsidR="005F0298" w:rsidRPr="00AD1326" w:rsidRDefault="005F0298" w:rsidP="005F0298">
      <w:pPr>
        <w:pStyle w:val="Paragraphedeliste"/>
        <w:jc w:val="both"/>
        <w:rPr>
          <w:color w:val="000000" w:themeColor="text1"/>
        </w:rPr>
      </w:pPr>
    </w:p>
    <w:p w:rsidR="005F0298" w:rsidRPr="00AD1326" w:rsidRDefault="005F0298" w:rsidP="00B261BB">
      <w:pPr>
        <w:pStyle w:val="Paragraphedeliste"/>
        <w:jc w:val="both"/>
        <w:rPr>
          <w:color w:val="000000" w:themeColor="text1"/>
        </w:rPr>
      </w:pPr>
      <w:proofErr w:type="gramStart"/>
      <w:r w:rsidRPr="00AD1326">
        <w:rPr>
          <w:color w:val="000000" w:themeColor="text1"/>
        </w:rPr>
        <w:t>et</w:t>
      </w:r>
      <w:proofErr w:type="gramEnd"/>
      <w:r w:rsidRPr="00AD1326">
        <w:rPr>
          <w:color w:val="000000" w:themeColor="text1"/>
        </w:rPr>
        <w:t xml:space="preserve"> plus généralement, répondre aux interrogations </w:t>
      </w:r>
      <w:r w:rsidR="00B261BB" w:rsidRPr="00AD1326">
        <w:rPr>
          <w:color w:val="000000" w:themeColor="text1"/>
        </w:rPr>
        <w:t>ci-haut citées (page précédente)</w:t>
      </w:r>
      <w:r w:rsidRPr="00AD1326">
        <w:rPr>
          <w:color w:val="000000" w:themeColor="text1"/>
        </w:rPr>
        <w:t xml:space="preserve">. </w:t>
      </w:r>
    </w:p>
    <w:p w:rsidR="00047305" w:rsidRPr="00AD1326" w:rsidRDefault="00047305" w:rsidP="00047305">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color w:val="000000" w:themeColor="text1"/>
        </w:rPr>
      </w:pPr>
    </w:p>
    <w:p w:rsidR="00376763" w:rsidRPr="00AD1326" w:rsidRDefault="00376763">
      <w:pPr>
        <w:widowControl w:val="0"/>
        <w:spacing w:after="120" w:line="240" w:lineRule="auto"/>
        <w:jc w:val="both"/>
        <w:rPr>
          <w:color w:val="000000" w:themeColor="text1"/>
        </w:rPr>
      </w:pPr>
    </w:p>
    <w:p w:rsidR="00376763" w:rsidRPr="00AD1326" w:rsidRDefault="00442992">
      <w:pPr>
        <w:widowControl w:val="0"/>
        <w:spacing w:after="120" w:line="240" w:lineRule="auto"/>
        <w:jc w:val="both"/>
        <w:rPr>
          <w:color w:val="000000" w:themeColor="text1"/>
        </w:rPr>
      </w:pPr>
      <w:r w:rsidRPr="00AD1326">
        <w:rPr>
          <w:color w:val="000000" w:themeColor="text1"/>
        </w:rPr>
        <w:t xml:space="preserve">Le public cible est : </w:t>
      </w:r>
    </w:p>
    <w:p w:rsidR="00376763" w:rsidRPr="00AD1326" w:rsidRDefault="00442992" w:rsidP="00BE376F">
      <w:pPr>
        <w:widowControl w:val="0"/>
        <w:numPr>
          <w:ilvl w:val="0"/>
          <w:numId w:val="2"/>
        </w:numPr>
        <w:pBdr>
          <w:top w:val="nil"/>
          <w:left w:val="nil"/>
          <w:bottom w:val="nil"/>
          <w:right w:val="nil"/>
          <w:between w:val="nil"/>
        </w:pBdr>
        <w:spacing w:after="0" w:line="240" w:lineRule="auto"/>
        <w:contextualSpacing/>
        <w:jc w:val="both"/>
        <w:rPr>
          <w:color w:val="000000" w:themeColor="text1"/>
        </w:rPr>
      </w:pPr>
      <w:r w:rsidRPr="00AD1326">
        <w:rPr>
          <w:color w:val="000000" w:themeColor="text1"/>
        </w:rPr>
        <w:t xml:space="preserve">Les </w:t>
      </w:r>
      <w:r w:rsidR="00B261BB" w:rsidRPr="00AD1326">
        <w:rPr>
          <w:color w:val="000000" w:themeColor="text1"/>
        </w:rPr>
        <w:t xml:space="preserve">responsables et </w:t>
      </w:r>
      <w:r w:rsidR="00111CCE" w:rsidRPr="00AD1326">
        <w:rPr>
          <w:color w:val="000000" w:themeColor="text1"/>
        </w:rPr>
        <w:t xml:space="preserve">techniciens/administrateurs de données du </w:t>
      </w:r>
      <w:r w:rsidR="00CE5BAD" w:rsidRPr="00AD1326">
        <w:rPr>
          <w:color w:val="000000" w:themeColor="text1"/>
        </w:rPr>
        <w:t xml:space="preserve">Ministère </w:t>
      </w:r>
      <w:r w:rsidR="00BE376F" w:rsidRPr="00AD1326">
        <w:rPr>
          <w:color w:val="000000" w:themeColor="text1"/>
        </w:rPr>
        <w:t xml:space="preserve">du transport </w:t>
      </w:r>
      <w:r w:rsidR="00CE5BAD" w:rsidRPr="00AD1326">
        <w:rPr>
          <w:color w:val="000000" w:themeColor="text1"/>
        </w:rPr>
        <w:t xml:space="preserve">(notamment </w:t>
      </w:r>
      <w:r w:rsidR="00047305" w:rsidRPr="00AD1326">
        <w:rPr>
          <w:color w:val="000000" w:themeColor="text1"/>
        </w:rPr>
        <w:t xml:space="preserve">issus de la </w:t>
      </w:r>
      <w:r w:rsidR="00CE5BAD" w:rsidRPr="00AD1326">
        <w:rPr>
          <w:color w:val="000000" w:themeColor="text1"/>
        </w:rPr>
        <w:t>cellule des systèmes des transports intelligents et de l’administration électronique au sein de la direction générale du développement administratif, des systèmes d’information et du transport intelligent</w:t>
      </w:r>
      <w:r w:rsidR="00BE376F" w:rsidRPr="00AD1326">
        <w:rPr>
          <w:color w:val="000000" w:themeColor="text1"/>
        </w:rPr>
        <w:t>) et des entreprises de transport public.</w:t>
      </w:r>
      <w:r w:rsidR="00CE5BAD" w:rsidRPr="00AD1326">
        <w:rPr>
          <w:color w:val="000000" w:themeColor="text1"/>
        </w:rPr>
        <w:t xml:space="preserve"> </w:t>
      </w:r>
    </w:p>
    <w:p w:rsidR="00376763" w:rsidRPr="00AD1326" w:rsidRDefault="00BE376F">
      <w:pPr>
        <w:widowControl w:val="0"/>
        <w:numPr>
          <w:ilvl w:val="0"/>
          <w:numId w:val="2"/>
        </w:numPr>
        <w:pBdr>
          <w:top w:val="nil"/>
          <w:left w:val="nil"/>
          <w:bottom w:val="nil"/>
          <w:right w:val="nil"/>
          <w:between w:val="nil"/>
        </w:pBdr>
        <w:spacing w:after="120" w:line="240" w:lineRule="auto"/>
        <w:contextualSpacing/>
        <w:jc w:val="both"/>
        <w:rPr>
          <w:color w:val="000000" w:themeColor="text1"/>
        </w:rPr>
      </w:pPr>
      <w:r w:rsidRPr="00AD1326">
        <w:rPr>
          <w:color w:val="000000" w:themeColor="text1"/>
        </w:rPr>
        <w:t>25</w:t>
      </w:r>
      <w:r w:rsidR="00442992" w:rsidRPr="00AD1326">
        <w:rPr>
          <w:color w:val="000000" w:themeColor="text1"/>
        </w:rPr>
        <w:t xml:space="preserve"> personnes maximum</w:t>
      </w:r>
    </w:p>
    <w:p w:rsidR="00FA7476" w:rsidRPr="00AD1326" w:rsidRDefault="00FA7476" w:rsidP="00FA7476">
      <w:pPr>
        <w:spacing w:before="160" w:after="0" w:line="240" w:lineRule="auto"/>
        <w:rPr>
          <w:color w:val="000000" w:themeColor="text1"/>
        </w:rPr>
      </w:pPr>
    </w:p>
    <w:p w:rsidR="00CE5BAD" w:rsidRPr="00AD1326" w:rsidRDefault="00CE5BAD" w:rsidP="00FA7476">
      <w:pPr>
        <w:rPr>
          <w:rFonts w:eastAsia="Times New Roman" w:cs="Times New Roman"/>
          <w:color w:val="000000" w:themeColor="text1"/>
        </w:rPr>
      </w:pPr>
    </w:p>
    <w:p w:rsidR="009B7009" w:rsidRPr="00AD1326" w:rsidRDefault="009B7009" w:rsidP="00BE376F">
      <w:pPr>
        <w:rPr>
          <w:color w:val="000000" w:themeColor="text1"/>
        </w:rPr>
      </w:pPr>
      <w:r w:rsidRPr="00AD1326">
        <w:rPr>
          <w:color w:val="000000" w:themeColor="text1"/>
        </w:rPr>
        <w:t xml:space="preserve">La formation sera adaptée </w:t>
      </w:r>
      <w:r w:rsidR="00BE376F" w:rsidRPr="00AD1326">
        <w:rPr>
          <w:color w:val="000000" w:themeColor="text1"/>
        </w:rPr>
        <w:t>en fonction du</w:t>
      </w:r>
      <w:r w:rsidRPr="00AD1326">
        <w:rPr>
          <w:color w:val="000000" w:themeColor="text1"/>
        </w:rPr>
        <w:t xml:space="preserve"> niveau de technicité des participants dont les profils nous seront communiqués en amont par nos collègues tunisiens.</w:t>
      </w:r>
    </w:p>
    <w:p w:rsidR="00376763" w:rsidRDefault="00376763">
      <w:pPr>
        <w:pStyle w:val="Titre1"/>
        <w:spacing w:before="0" w:after="120" w:line="240" w:lineRule="auto"/>
      </w:pPr>
    </w:p>
    <w:p w:rsidR="00376763" w:rsidRDefault="00442992">
      <w:pPr>
        <w:pStyle w:val="Titre1"/>
        <w:spacing w:before="0" w:after="120" w:line="240" w:lineRule="auto"/>
      </w:pPr>
      <w:r>
        <w:t>Livrables</w:t>
      </w:r>
    </w:p>
    <w:p w:rsidR="00376763" w:rsidRDefault="00442992">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Formation délivrée</w:t>
      </w:r>
    </w:p>
    <w:p w:rsidR="00376763" w:rsidRDefault="00442992">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pPr>
      <w:r>
        <w:rPr>
          <w:color w:val="000000"/>
        </w:rPr>
        <w:t xml:space="preserve">Supports de formation </w:t>
      </w:r>
    </w:p>
    <w:p w:rsidR="00376763" w:rsidRPr="00322706" w:rsidRDefault="00442992">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color w:val="000000"/>
        </w:rPr>
      </w:pPr>
      <w:r>
        <w:rPr>
          <w:color w:val="000000"/>
        </w:rPr>
        <w:t xml:space="preserve">Rapport de fin de mission </w:t>
      </w:r>
    </w:p>
    <w:p w:rsidR="00376763" w:rsidRDefault="00376763">
      <w:pPr>
        <w:widowControl w:val="0"/>
        <w:pBdr>
          <w:top w:val="nil"/>
          <w:left w:val="nil"/>
          <w:bottom w:val="nil"/>
          <w:right w:val="nil"/>
          <w:between w:val="nil"/>
        </w:pBdr>
        <w:spacing w:after="120" w:line="240" w:lineRule="auto"/>
        <w:ind w:left="720" w:hanging="720"/>
        <w:jc w:val="both"/>
        <w:rPr>
          <w:color w:val="000000"/>
        </w:rPr>
      </w:pPr>
    </w:p>
    <w:p w:rsidR="00376763" w:rsidRDefault="00442992">
      <w:pPr>
        <w:pStyle w:val="Titre1"/>
        <w:spacing w:before="0" w:after="120" w:line="240" w:lineRule="auto"/>
      </w:pPr>
      <w:r>
        <w:t>Type de contrat</w:t>
      </w:r>
    </w:p>
    <w:p w:rsidR="00376763" w:rsidRDefault="00442992">
      <w:pPr>
        <w:widowControl w:val="0"/>
        <w:spacing w:after="120" w:line="240" w:lineRule="auto"/>
        <w:jc w:val="both"/>
      </w:pPr>
      <w:r>
        <w:t>Court terme</w:t>
      </w:r>
    </w:p>
    <w:p w:rsidR="00376763" w:rsidRDefault="00376763">
      <w:pPr>
        <w:widowControl w:val="0"/>
        <w:spacing w:after="120" w:line="240" w:lineRule="auto"/>
        <w:jc w:val="both"/>
      </w:pPr>
    </w:p>
    <w:p w:rsidR="00376763" w:rsidRDefault="00442992">
      <w:pPr>
        <w:pStyle w:val="Titre1"/>
        <w:spacing w:before="0" w:after="120" w:line="240" w:lineRule="auto"/>
      </w:pPr>
      <w:r>
        <w:t>Nombre de jours d’expertise</w:t>
      </w:r>
    </w:p>
    <w:p w:rsidR="00376763" w:rsidRPr="00AD1326" w:rsidRDefault="00472614" w:rsidP="00472614">
      <w:pPr>
        <w:widowControl w:val="0"/>
        <w:spacing w:after="120" w:line="240" w:lineRule="auto"/>
        <w:jc w:val="both"/>
        <w:rPr>
          <w:color w:val="000000" w:themeColor="text1"/>
        </w:rPr>
      </w:pPr>
      <w:bookmarkStart w:id="0" w:name="_GoBack"/>
      <w:r w:rsidRPr="00AD1326">
        <w:rPr>
          <w:color w:val="000000" w:themeColor="text1"/>
        </w:rPr>
        <w:t>9</w:t>
      </w:r>
      <w:r w:rsidR="00442992" w:rsidRPr="00AD1326">
        <w:rPr>
          <w:color w:val="000000" w:themeColor="text1"/>
        </w:rPr>
        <w:t xml:space="preserve"> jours : formation de 4 jours à Tunis, 4 jours de préparation et 1 jour de </w:t>
      </w:r>
      <w:proofErr w:type="spellStart"/>
      <w:r w:rsidR="00442992" w:rsidRPr="00AD1326">
        <w:rPr>
          <w:color w:val="000000" w:themeColor="text1"/>
        </w:rPr>
        <w:t>reporting</w:t>
      </w:r>
      <w:proofErr w:type="spellEnd"/>
    </w:p>
    <w:bookmarkEnd w:id="0"/>
    <w:p w:rsidR="00376763" w:rsidRDefault="00442992">
      <w:pPr>
        <w:widowControl w:val="0"/>
        <w:spacing w:after="120" w:line="240" w:lineRule="auto"/>
        <w:jc w:val="both"/>
      </w:pPr>
      <w:r>
        <w:t xml:space="preserve"> </w:t>
      </w:r>
    </w:p>
    <w:p w:rsidR="00376763" w:rsidRDefault="00442992" w:rsidP="0096491A">
      <w:pPr>
        <w:pStyle w:val="Titre1"/>
        <w:spacing w:before="0" w:after="120" w:line="240" w:lineRule="auto"/>
      </w:pPr>
      <w:r>
        <w:lastRenderedPageBreak/>
        <w:t>Calendrier prévisionnel</w:t>
      </w:r>
      <w:r>
        <w:tab/>
      </w:r>
      <w:bookmarkStart w:id="1" w:name="_30j0zll" w:colFirst="0" w:colLast="0"/>
      <w:bookmarkEnd w:id="1"/>
    </w:p>
    <w:p w:rsidR="0096491A" w:rsidRPr="0096491A" w:rsidRDefault="006656A4" w:rsidP="0096491A">
      <w:r>
        <w:t>Mai-juin</w:t>
      </w:r>
      <w:r w:rsidR="0096491A">
        <w:t xml:space="preserve"> 2019</w:t>
      </w:r>
    </w:p>
    <w:p w:rsidR="00376763" w:rsidRDefault="00376763">
      <w:pPr>
        <w:widowControl w:val="0"/>
        <w:spacing w:after="120" w:line="240" w:lineRule="auto"/>
        <w:jc w:val="both"/>
      </w:pPr>
    </w:p>
    <w:p w:rsidR="00376763" w:rsidRDefault="00442992">
      <w:pPr>
        <w:pStyle w:val="Titre1"/>
        <w:spacing w:after="120" w:line="240" w:lineRule="auto"/>
      </w:pPr>
      <w:r>
        <w:t>Lieu d’exécution</w:t>
      </w:r>
      <w:r>
        <w:tab/>
      </w:r>
    </w:p>
    <w:p w:rsidR="00376763" w:rsidRDefault="00442992">
      <w:pPr>
        <w:widowControl w:val="0"/>
        <w:spacing w:after="120" w:line="240" w:lineRule="auto"/>
        <w:jc w:val="both"/>
      </w:pPr>
      <w:r>
        <w:t>L’activité sera réalisée en Tunisie (Tunis principalement pour la formation) et dans le pays de résidence de l’expert.</w:t>
      </w:r>
    </w:p>
    <w:p w:rsidR="00376763" w:rsidRDefault="00376763">
      <w:pPr>
        <w:widowControl w:val="0"/>
        <w:spacing w:after="120" w:line="240" w:lineRule="auto"/>
        <w:jc w:val="both"/>
      </w:pPr>
    </w:p>
    <w:p w:rsidR="00376763" w:rsidRDefault="00442992">
      <w:pPr>
        <w:pStyle w:val="Titre1"/>
        <w:spacing w:after="120" w:line="240" w:lineRule="auto"/>
      </w:pPr>
      <w:r>
        <w:t>Profil requis de l’expert</w:t>
      </w:r>
    </w:p>
    <w:p w:rsidR="00376763" w:rsidRDefault="00442992">
      <w:pPr>
        <w:widowControl w:val="0"/>
        <w:spacing w:before="240" w:after="120" w:line="240" w:lineRule="auto"/>
        <w:jc w:val="both"/>
      </w:pPr>
      <w:bookmarkStart w:id="2" w:name="_1fob9te" w:colFirst="0" w:colLast="0"/>
      <w:bookmarkEnd w:id="2"/>
      <w:r>
        <w:t>Qualifications et compétences</w:t>
      </w:r>
    </w:p>
    <w:p w:rsidR="006656A4" w:rsidRPr="00071955" w:rsidRDefault="006656A4" w:rsidP="006656A4">
      <w:pPr>
        <w:widowControl w:val="0"/>
        <w:numPr>
          <w:ilvl w:val="0"/>
          <w:numId w:val="1"/>
        </w:numPr>
        <w:pBdr>
          <w:top w:val="nil"/>
          <w:left w:val="nil"/>
          <w:bottom w:val="nil"/>
          <w:right w:val="nil"/>
          <w:between w:val="nil"/>
        </w:pBdr>
        <w:spacing w:after="0" w:line="240" w:lineRule="auto"/>
        <w:ind w:left="426"/>
        <w:contextualSpacing/>
        <w:jc w:val="both"/>
      </w:pPr>
      <w:r>
        <w:rPr>
          <w:color w:val="000000"/>
        </w:rPr>
        <w:t>Excellente connaissances techniques sur l’ouverture des données (open data : de la collecte, nettoyage, diffusion à la compréhension de la cha</w:t>
      </w:r>
      <w:r>
        <w:t>î</w:t>
      </w:r>
      <w:r>
        <w:rPr>
          <w:color w:val="000000"/>
        </w:rPr>
        <w:t>ne de p</w:t>
      </w:r>
      <w:r w:rsidRPr="00442992">
        <w:t xml:space="preserve">ublication de </w:t>
      </w:r>
      <w:r>
        <w:rPr>
          <w:color w:val="000000"/>
        </w:rPr>
        <w:t>données ouvertes)</w:t>
      </w:r>
      <w:r w:rsidR="00071955">
        <w:rPr>
          <w:color w:val="000000"/>
        </w:rPr>
        <w:t xml:space="preserve"> et notamment sur les données </w:t>
      </w:r>
      <w:r w:rsidR="00FB754B">
        <w:rPr>
          <w:color w:val="000000"/>
        </w:rPr>
        <w:t>terrestres, real time et statique</w:t>
      </w:r>
    </w:p>
    <w:p w:rsidR="00C77225" w:rsidRDefault="00071955" w:rsidP="00C77225">
      <w:pPr>
        <w:widowControl w:val="0"/>
        <w:numPr>
          <w:ilvl w:val="0"/>
          <w:numId w:val="1"/>
        </w:numPr>
        <w:pBdr>
          <w:top w:val="nil"/>
          <w:left w:val="nil"/>
          <w:bottom w:val="nil"/>
          <w:right w:val="nil"/>
          <w:between w:val="nil"/>
        </w:pBdr>
        <w:spacing w:after="0" w:line="240" w:lineRule="auto"/>
        <w:ind w:left="426"/>
        <w:contextualSpacing/>
        <w:jc w:val="both"/>
      </w:pPr>
      <w:r>
        <w:rPr>
          <w:color w:val="000000"/>
        </w:rPr>
        <w:t>Excellente maitrise des langage</w:t>
      </w:r>
      <w:r w:rsidR="00FB754B">
        <w:rPr>
          <w:color w:val="000000"/>
        </w:rPr>
        <w:t>s open-source, du format d’échange GTFS</w:t>
      </w:r>
    </w:p>
    <w:p w:rsidR="00376763" w:rsidRDefault="00442992">
      <w:pPr>
        <w:widowControl w:val="0"/>
        <w:numPr>
          <w:ilvl w:val="0"/>
          <w:numId w:val="1"/>
        </w:numPr>
        <w:pBdr>
          <w:top w:val="nil"/>
          <w:left w:val="nil"/>
          <w:bottom w:val="nil"/>
          <w:right w:val="nil"/>
          <w:between w:val="nil"/>
        </w:pBdr>
        <w:spacing w:before="240" w:after="0" w:line="240" w:lineRule="auto"/>
        <w:ind w:left="426"/>
        <w:contextualSpacing/>
        <w:jc w:val="both"/>
      </w:pPr>
      <w:r>
        <w:rPr>
          <w:color w:val="000000"/>
        </w:rPr>
        <w:t>Connaissance des principes de gouvernement ouvert, transparence des gouvernements, lutte contre la corruption, e-</w:t>
      </w:r>
      <w:proofErr w:type="spellStart"/>
      <w:r>
        <w:rPr>
          <w:color w:val="000000"/>
        </w:rPr>
        <w:t>gov</w:t>
      </w:r>
      <w:proofErr w:type="spellEnd"/>
      <w:r>
        <w:rPr>
          <w:color w:val="000000"/>
        </w:rPr>
        <w:t>, administration électronique au sein de l’administration centrale et locale ; </w:t>
      </w:r>
    </w:p>
    <w:p w:rsidR="00376763" w:rsidRDefault="00442992">
      <w:pPr>
        <w:widowControl w:val="0"/>
        <w:numPr>
          <w:ilvl w:val="0"/>
          <w:numId w:val="1"/>
        </w:numPr>
        <w:pBdr>
          <w:top w:val="nil"/>
          <w:left w:val="nil"/>
          <w:bottom w:val="nil"/>
          <w:right w:val="nil"/>
          <w:between w:val="nil"/>
        </w:pBdr>
        <w:spacing w:after="0" w:line="240" w:lineRule="auto"/>
        <w:ind w:left="426"/>
        <w:contextualSpacing/>
        <w:jc w:val="both"/>
      </w:pPr>
      <w:r>
        <w:rPr>
          <w:color w:val="000000"/>
        </w:rPr>
        <w:t xml:space="preserve">Connaissance de l’administration publique (enjeux, acteurs, </w:t>
      </w:r>
      <w:proofErr w:type="spellStart"/>
      <w:r>
        <w:rPr>
          <w:color w:val="000000"/>
        </w:rPr>
        <w:t>etc</w:t>
      </w:r>
      <w:proofErr w:type="spellEnd"/>
      <w:r>
        <w:rPr>
          <w:color w:val="000000"/>
        </w:rPr>
        <w:t>) ;</w:t>
      </w:r>
    </w:p>
    <w:p w:rsidR="00376763" w:rsidRDefault="00442992">
      <w:pPr>
        <w:widowControl w:val="0"/>
        <w:numPr>
          <w:ilvl w:val="0"/>
          <w:numId w:val="1"/>
        </w:numPr>
        <w:pBdr>
          <w:top w:val="nil"/>
          <w:left w:val="nil"/>
          <w:bottom w:val="nil"/>
          <w:right w:val="nil"/>
          <w:between w:val="nil"/>
        </w:pBdr>
        <w:spacing w:after="120" w:line="240" w:lineRule="auto"/>
        <w:ind w:left="426"/>
        <w:contextualSpacing/>
        <w:jc w:val="both"/>
      </w:pPr>
      <w:r>
        <w:rPr>
          <w:color w:val="000000"/>
        </w:rPr>
        <w:t>Excellentes compétences orales.</w:t>
      </w:r>
    </w:p>
    <w:p w:rsidR="00376763" w:rsidRDefault="00442992">
      <w:pPr>
        <w:widowControl w:val="0"/>
        <w:spacing w:before="240" w:after="120" w:line="240" w:lineRule="auto"/>
        <w:jc w:val="both"/>
      </w:pPr>
      <w:r>
        <w:t>Expérience professionnelle générale et spécifiques</w:t>
      </w:r>
    </w:p>
    <w:p w:rsidR="00C77225" w:rsidRDefault="00C77225" w:rsidP="00C77225">
      <w:pPr>
        <w:widowControl w:val="0"/>
        <w:numPr>
          <w:ilvl w:val="0"/>
          <w:numId w:val="1"/>
        </w:numPr>
        <w:pBdr>
          <w:top w:val="nil"/>
          <w:left w:val="nil"/>
          <w:bottom w:val="nil"/>
          <w:right w:val="nil"/>
          <w:between w:val="nil"/>
        </w:pBdr>
        <w:spacing w:before="120" w:after="120" w:line="240" w:lineRule="auto"/>
        <w:ind w:left="425" w:hanging="357"/>
        <w:jc w:val="both"/>
      </w:pPr>
      <w:r>
        <w:rPr>
          <w:color w:val="000000"/>
        </w:rPr>
        <w:t xml:space="preserve">Expérience dans l’open data et dans la formation sur les données </w:t>
      </w:r>
      <w:r w:rsidR="00FB754B">
        <w:rPr>
          <w:color w:val="000000"/>
        </w:rPr>
        <w:t>du transport (extraction, publication, normes et standards internationaux, format d’échange, etc…)</w:t>
      </w:r>
    </w:p>
    <w:p w:rsidR="00376763" w:rsidRDefault="00442992">
      <w:pPr>
        <w:widowControl w:val="0"/>
        <w:numPr>
          <w:ilvl w:val="0"/>
          <w:numId w:val="1"/>
        </w:numPr>
        <w:pBdr>
          <w:top w:val="nil"/>
          <w:left w:val="nil"/>
          <w:bottom w:val="nil"/>
          <w:right w:val="nil"/>
          <w:between w:val="nil"/>
        </w:pBdr>
        <w:spacing w:before="120" w:after="120" w:line="240" w:lineRule="auto"/>
        <w:ind w:left="425" w:hanging="357"/>
        <w:jc w:val="both"/>
      </w:pPr>
      <w:r>
        <w:rPr>
          <w:color w:val="000000"/>
        </w:rPr>
        <w:t xml:space="preserve">Expérience dans la mise en œuvre de projet/activités sur les principes de gouvernement ouvert, transparence des gouvernements, lutte contre la corruption, </w:t>
      </w:r>
      <w:r>
        <w:t>E</w:t>
      </w:r>
      <w:r>
        <w:rPr>
          <w:color w:val="000000"/>
        </w:rPr>
        <w:t>-</w:t>
      </w:r>
      <w:proofErr w:type="spellStart"/>
      <w:r>
        <w:rPr>
          <w:color w:val="000000"/>
        </w:rPr>
        <w:t>gov</w:t>
      </w:r>
      <w:proofErr w:type="spellEnd"/>
      <w:r>
        <w:rPr>
          <w:color w:val="000000"/>
        </w:rPr>
        <w:t>, administration électronique au sein de l’administration centrale ;</w:t>
      </w:r>
    </w:p>
    <w:p w:rsidR="00376763" w:rsidRDefault="00442992">
      <w:pPr>
        <w:widowControl w:val="0"/>
        <w:numPr>
          <w:ilvl w:val="0"/>
          <w:numId w:val="1"/>
        </w:numPr>
        <w:pBdr>
          <w:top w:val="nil"/>
          <w:left w:val="nil"/>
          <w:bottom w:val="nil"/>
          <w:right w:val="nil"/>
          <w:between w:val="nil"/>
        </w:pBdr>
        <w:spacing w:before="120" w:after="120" w:line="240" w:lineRule="auto"/>
        <w:ind w:left="425" w:hanging="357"/>
        <w:jc w:val="both"/>
      </w:pPr>
      <w:r>
        <w:rPr>
          <w:color w:val="000000"/>
        </w:rPr>
        <w:t>Capacité à travailler en milieu interculturel</w:t>
      </w:r>
    </w:p>
    <w:p w:rsidR="00376763" w:rsidRDefault="00376763">
      <w:pPr>
        <w:widowControl w:val="0"/>
        <w:pBdr>
          <w:top w:val="nil"/>
          <w:left w:val="nil"/>
          <w:bottom w:val="nil"/>
          <w:right w:val="nil"/>
          <w:between w:val="nil"/>
        </w:pBdr>
        <w:spacing w:before="120" w:after="120" w:line="240" w:lineRule="auto"/>
        <w:ind w:left="425" w:hanging="720"/>
        <w:jc w:val="both"/>
        <w:rPr>
          <w:color w:val="000000"/>
        </w:rPr>
      </w:pPr>
    </w:p>
    <w:p w:rsidR="00376763" w:rsidRDefault="00442992">
      <w:pPr>
        <w:pStyle w:val="Titre1"/>
        <w:spacing w:after="120" w:line="240" w:lineRule="auto"/>
      </w:pPr>
      <w:r>
        <w:t xml:space="preserve">Langue(s) de travail </w:t>
      </w:r>
    </w:p>
    <w:p w:rsidR="00376763" w:rsidRDefault="00442992">
      <w:pPr>
        <w:widowControl w:val="0"/>
        <w:spacing w:after="120" w:line="240" w:lineRule="auto"/>
        <w:jc w:val="both"/>
      </w:pPr>
      <w:r>
        <w:t>Français</w:t>
      </w:r>
    </w:p>
    <w:p w:rsidR="00376763" w:rsidRDefault="00376763">
      <w:pPr>
        <w:widowControl w:val="0"/>
        <w:spacing w:after="120" w:line="240" w:lineRule="auto"/>
        <w:jc w:val="both"/>
        <w:rPr>
          <w:rFonts w:ascii="Times New Roman" w:eastAsia="Times New Roman" w:hAnsi="Times New Roman" w:cs="Times New Roman"/>
          <w:b/>
          <w:color w:val="404040"/>
          <w:sz w:val="24"/>
          <w:szCs w:val="24"/>
        </w:rPr>
      </w:pPr>
    </w:p>
    <w:sectPr w:rsidR="00376763">
      <w:footerReference w:type="default" r:id="rId8"/>
      <w:headerReference w:type="first" r:id="rId9"/>
      <w:footerReference w:type="first" r:id="rId10"/>
      <w:pgSz w:w="11906" w:h="16838"/>
      <w:pgMar w:top="1411" w:right="1109" w:bottom="1138" w:left="1411" w:header="562" w:footer="56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2B" w:rsidRDefault="000D6C2B">
      <w:pPr>
        <w:spacing w:after="0" w:line="240" w:lineRule="auto"/>
      </w:pPr>
      <w:r>
        <w:separator/>
      </w:r>
    </w:p>
  </w:endnote>
  <w:endnote w:type="continuationSeparator" w:id="0">
    <w:p w:rsidR="000D6C2B" w:rsidRDefault="000D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63" w:rsidRDefault="00376763">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63" w:rsidRDefault="00442992">
    <w:pPr>
      <w:pBdr>
        <w:top w:val="nil"/>
        <w:left w:val="nil"/>
        <w:bottom w:val="nil"/>
        <w:right w:val="nil"/>
        <w:between w:val="nil"/>
      </w:pBdr>
      <w:tabs>
        <w:tab w:val="center" w:pos="4153"/>
        <w:tab w:val="right" w:pos="8306"/>
      </w:tabs>
      <w:spacing w:after="0" w:line="240" w:lineRule="auto"/>
      <w:jc w:val="center"/>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margin">
                <wp:posOffset>-266699</wp:posOffset>
              </wp:positionH>
              <wp:positionV relativeFrom="paragraph">
                <wp:posOffset>165100</wp:posOffset>
              </wp:positionV>
              <wp:extent cx="828040" cy="266700"/>
              <wp:effectExtent l="0" t="0" r="0" b="0"/>
              <wp:wrapNone/>
              <wp:docPr id="1" name="Rectangle 1"/>
              <wp:cNvGraphicFramePr/>
              <a:graphic xmlns:a="http://schemas.openxmlformats.org/drawingml/2006/main">
                <a:graphicData uri="http://schemas.microsoft.com/office/word/2010/wordprocessingShape">
                  <wps:wsp>
                    <wps:cNvSpPr/>
                    <wps:spPr>
                      <a:xfrm>
                        <a:off x="4936743" y="3651413"/>
                        <a:ext cx="818515" cy="257175"/>
                      </a:xfrm>
                      <a:prstGeom prst="rect">
                        <a:avLst/>
                      </a:prstGeom>
                      <a:noFill/>
                      <a:ln>
                        <a:noFill/>
                      </a:ln>
                    </wps:spPr>
                    <wps:txbx>
                      <w:txbxContent>
                        <w:p w:rsidR="00376763" w:rsidRDefault="00442992">
                          <w:pPr>
                            <w:spacing w:after="0" w:line="215" w:lineRule="auto"/>
                            <w:jc w:val="right"/>
                            <w:textDirection w:val="btLr"/>
                          </w:pPr>
                          <w:r>
                            <w:rPr>
                              <w:i/>
                              <w:color w:val="595959"/>
                              <w:sz w:val="16"/>
                            </w:rPr>
                            <w:t xml:space="preserve">Financé par </w:t>
                          </w:r>
                        </w:p>
                      </w:txbxContent>
                    </wps:txbx>
                    <wps:bodyPr spcFirstLastPara="1" wrap="square" lIns="91425" tIns="45700" rIns="91425" bIns="45700" anchor="b" anchorCtr="0"/>
                  </wps:wsp>
                </a:graphicData>
              </a:graphic>
            </wp:anchor>
          </w:drawing>
        </mc:Choice>
        <mc:Fallback>
          <w:pict>
            <v:rect id="Rectangle 1" o:spid="_x0000_s1026" style="position:absolute;left:0;text-align:left;margin-left:-21pt;margin-top:13pt;width:65.2pt;height:21pt;z-index:251659264;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" filled="f" stroked="f">
              <v:textbox inset="2.53958mm,1.2694mm,2.53958mm,1.2694mm">
                <w:txbxContent>
                  <w:p w:rsidR="00376763" w:rsidRDefault="00442992">
                    <w:pPr>
                      <w:spacing w:after="0" w:line="215" w:lineRule="auto"/>
                      <w:jc w:val="right"/>
                      <w:textDirection w:val="btLr"/>
                    </w:pPr>
                    <w:r>
                      <w:rPr>
                        <w:i/>
                        <w:color w:val="595959"/>
                        <w:sz w:val="16"/>
                      </w:rPr>
                      <w:t xml:space="preserve">Financé par </w:t>
                    </w:r>
                  </w:p>
                </w:txbxContent>
              </v:textbox>
              <w10:wrap anchorx="margin"/>
            </v:rect>
          </w:pict>
        </mc:Fallback>
      </mc:AlternateContent>
    </w:r>
    <w:r>
      <w:rPr>
        <w:noProof/>
      </w:rPr>
      <w:drawing>
        <wp:anchor distT="0" distB="0" distL="114300" distR="114300" simplePos="0" relativeHeight="251660288" behindDoc="0" locked="0" layoutInCell="1" hidden="0" allowOverlap="1">
          <wp:simplePos x="0" y="0"/>
          <wp:positionH relativeFrom="margin">
            <wp:posOffset>495493</wp:posOffset>
          </wp:positionH>
          <wp:positionV relativeFrom="paragraph">
            <wp:posOffset>167502</wp:posOffset>
          </wp:positionV>
          <wp:extent cx="742896" cy="366067"/>
          <wp:effectExtent l="0" t="0" r="0" b="0"/>
          <wp:wrapNone/>
          <wp:docPr id="5" name="image10.png"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0" name="image10.png" descr="Résultat de recherche d'images pour &quot;logo AFD&quot;"/>
                  <pic:cNvPicPr preferRelativeResize="0"/>
                </pic:nvPicPr>
                <pic:blipFill>
                  <a:blip r:embed="rId1"/>
                  <a:srcRect/>
                  <a:stretch>
                    <a:fillRect/>
                  </a:stretch>
                </pic:blipFill>
                <pic:spPr>
                  <a:xfrm>
                    <a:off x="0" y="0"/>
                    <a:ext cx="742896" cy="366067"/>
                  </a:xfrm>
                  <a:prstGeom prst="rect">
                    <a:avLst/>
                  </a:prstGeom>
                  <a:ln/>
                </pic:spPr>
              </pic:pic>
            </a:graphicData>
          </a:graphic>
        </wp:anchor>
      </w:drawing>
    </w:r>
  </w:p>
  <w:p w:rsidR="00376763" w:rsidRDefault="00442992">
    <w:pPr>
      <w:pBdr>
        <w:top w:val="nil"/>
        <w:left w:val="nil"/>
        <w:bottom w:val="nil"/>
        <w:right w:val="nil"/>
        <w:between w:val="nil"/>
      </w:pBdr>
      <w:tabs>
        <w:tab w:val="center" w:pos="4153"/>
        <w:tab w:val="right" w:pos="8306"/>
      </w:tabs>
      <w:spacing w:after="0" w:line="240" w:lineRule="auto"/>
      <w:jc w:val="center"/>
      <w:rPr>
        <w:color w:val="000000"/>
      </w:rPr>
    </w:pPr>
    <w:r>
      <w:rPr>
        <w:color w:val="000000"/>
      </w:rPr>
      <w:t xml:space="preserve"> </w:t>
    </w:r>
    <w:r>
      <w:rPr>
        <w:noProof/>
      </w:rPr>
      <mc:AlternateContent>
        <mc:Choice Requires="wps">
          <w:drawing>
            <wp:anchor distT="0" distB="0" distL="114300" distR="114300" simplePos="0" relativeHeight="251662336" behindDoc="0" locked="0" layoutInCell="1" hidden="0" allowOverlap="1">
              <wp:simplePos x="0" y="0"/>
              <wp:positionH relativeFrom="margin">
                <wp:posOffset>4241800</wp:posOffset>
              </wp:positionH>
              <wp:positionV relativeFrom="paragraph">
                <wp:posOffset>0</wp:posOffset>
              </wp:positionV>
              <wp:extent cx="1114287" cy="266700"/>
              <wp:effectExtent l="0" t="0" r="0" b="0"/>
              <wp:wrapNone/>
              <wp:docPr id="2" name="Rectangle 2"/>
              <wp:cNvGraphicFramePr/>
              <a:graphic xmlns:a="http://schemas.openxmlformats.org/drawingml/2006/main">
                <a:graphicData uri="http://schemas.microsoft.com/office/word/2010/wordprocessingShape">
                  <wps:wsp>
                    <wps:cNvSpPr/>
                    <wps:spPr>
                      <a:xfrm>
                        <a:off x="4793619" y="3651413"/>
                        <a:ext cx="1104762" cy="257175"/>
                      </a:xfrm>
                      <a:prstGeom prst="rect">
                        <a:avLst/>
                      </a:prstGeom>
                      <a:noFill/>
                      <a:ln>
                        <a:noFill/>
                      </a:ln>
                    </wps:spPr>
                    <wps:txbx>
                      <w:txbxContent>
                        <w:p w:rsidR="00376763" w:rsidRDefault="00376763">
                          <w:pPr>
                            <w:spacing w:after="0" w:line="215" w:lineRule="auto"/>
                            <w:jc w:val="right"/>
                            <w:textDirection w:val="btLr"/>
                          </w:pPr>
                        </w:p>
                      </w:txbxContent>
                    </wps:txbx>
                    <wps:bodyPr spcFirstLastPara="1" wrap="square" lIns="91425" tIns="45700" rIns="91425" bIns="45700" anchor="b" anchorCtr="0"/>
                  </wps:wsp>
                </a:graphicData>
              </a:graphic>
            </wp:anchor>
          </w:drawing>
        </mc:Choice>
        <mc:Fallback>
          <w:pict>
            <v:rect id="Rectangle 2" o:spid="_x0000_s1027" style="position:absolute;left:0;text-align:left;margin-left:334pt;margin-top:0;width:87.75pt;height:21pt;z-index:251662336;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" filled="f" stroked="f">
              <v:textbox inset="2.53958mm,1.2694mm,2.53958mm,1.2694mm">
                <w:txbxContent>
                  <w:p w:rsidR="00376763" w:rsidRDefault="00376763">
                    <w:pPr>
                      <w:spacing w:after="0" w:line="215" w:lineRule="auto"/>
                      <w:jc w:val="right"/>
                      <w:textDirection w:val="btL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2B" w:rsidRDefault="000D6C2B">
      <w:pPr>
        <w:spacing w:after="0" w:line="240" w:lineRule="auto"/>
      </w:pPr>
      <w:r>
        <w:separator/>
      </w:r>
    </w:p>
  </w:footnote>
  <w:footnote w:type="continuationSeparator" w:id="0">
    <w:p w:rsidR="000D6C2B" w:rsidRDefault="000D6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63" w:rsidRDefault="00442992">
    <w:pPr>
      <w:pBdr>
        <w:top w:val="nil"/>
        <w:left w:val="nil"/>
        <w:bottom w:val="nil"/>
        <w:right w:val="nil"/>
        <w:between w:val="nil"/>
      </w:pBdr>
      <w:tabs>
        <w:tab w:val="center" w:pos="4153"/>
        <w:tab w:val="right" w:pos="830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margin">
            <wp:posOffset>1</wp:posOffset>
          </wp:positionH>
          <wp:positionV relativeFrom="paragraph">
            <wp:posOffset>-634</wp:posOffset>
          </wp:positionV>
          <wp:extent cx="857250" cy="857250"/>
          <wp:effectExtent l="0" t="0" r="0" b="0"/>
          <wp:wrapNone/>
          <wp:docPr id="4" name="image9.jpg" descr="LOGO EXPERTISE FRANCE"/>
          <wp:cNvGraphicFramePr/>
          <a:graphic xmlns:a="http://schemas.openxmlformats.org/drawingml/2006/main">
            <a:graphicData uri="http://schemas.openxmlformats.org/drawingml/2006/picture">
              <pic:pic xmlns:pic="http://schemas.openxmlformats.org/drawingml/2006/picture">
                <pic:nvPicPr>
                  <pic:cNvPr id="0" name="image9.jpg" descr="LOGO EXPERTISE FRANCE"/>
                  <pic:cNvPicPr preferRelativeResize="0"/>
                </pic:nvPicPr>
                <pic:blipFill>
                  <a:blip r:embed="rId1"/>
                  <a:srcRect/>
                  <a:stretch>
                    <a:fillRect/>
                  </a:stretch>
                </pic:blipFill>
                <pic:spPr>
                  <a:xfrm>
                    <a:off x="0" y="0"/>
                    <a:ext cx="857250" cy="857250"/>
                  </a:xfrm>
                  <a:prstGeom prst="rect">
                    <a:avLst/>
                  </a:prstGeom>
                  <a:ln/>
                </pic:spPr>
              </pic:pic>
            </a:graphicData>
          </a:graphic>
        </wp:anchor>
      </w:drawing>
    </w:r>
  </w:p>
  <w:p w:rsidR="00376763" w:rsidRDefault="00376763">
    <w:pPr>
      <w:pBdr>
        <w:top w:val="nil"/>
        <w:left w:val="nil"/>
        <w:bottom w:val="nil"/>
        <w:right w:val="nil"/>
        <w:between w:val="nil"/>
      </w:pBdr>
      <w:tabs>
        <w:tab w:val="center" w:pos="4153"/>
        <w:tab w:val="right" w:pos="8306"/>
      </w:tabs>
      <w:spacing w:after="0" w:line="240" w:lineRule="auto"/>
      <w:rPr>
        <w:color w:val="000000"/>
      </w:rPr>
    </w:pPr>
  </w:p>
  <w:p w:rsidR="00376763" w:rsidRDefault="00442992">
    <w:pPr>
      <w:pBdr>
        <w:top w:val="nil"/>
        <w:left w:val="nil"/>
        <w:bottom w:val="nil"/>
        <w:right w:val="nil"/>
        <w:between w:val="nil"/>
      </w:pBdr>
      <w:tabs>
        <w:tab w:val="left" w:pos="2605"/>
      </w:tabs>
      <w:spacing w:after="0" w:line="240" w:lineRule="auto"/>
      <w:rPr>
        <w:color w:val="000000"/>
      </w:rPr>
    </w:pPr>
    <w:r>
      <w:rPr>
        <w:color w:val="000000"/>
      </w:rPr>
      <w:tab/>
    </w:r>
  </w:p>
  <w:p w:rsidR="00376763" w:rsidRDefault="00442992">
    <w:pPr>
      <w:pBdr>
        <w:top w:val="nil"/>
        <w:left w:val="nil"/>
        <w:bottom w:val="nil"/>
        <w:right w:val="nil"/>
        <w:between w:val="nil"/>
      </w:pBdr>
      <w:tabs>
        <w:tab w:val="left" w:pos="7037"/>
      </w:tabs>
      <w:spacing w:after="0" w:line="240" w:lineRule="auto"/>
      <w:rPr>
        <w:color w:val="000000"/>
      </w:rPr>
    </w:pPr>
    <w:r>
      <w:rPr>
        <w:color w:val="000000"/>
      </w:rPr>
      <w:tab/>
    </w:r>
  </w:p>
  <w:p w:rsidR="00376763" w:rsidRDefault="00376763">
    <w:pPr>
      <w:pBdr>
        <w:top w:val="nil"/>
        <w:left w:val="nil"/>
        <w:bottom w:val="nil"/>
        <w:right w:val="nil"/>
        <w:between w:val="nil"/>
      </w:pBdr>
      <w:tabs>
        <w:tab w:val="center" w:pos="4153"/>
        <w:tab w:val="right" w:pos="8306"/>
      </w:tabs>
      <w:spacing w:after="0" w:line="240" w:lineRule="auto"/>
      <w:rPr>
        <w:color w:val="000000"/>
      </w:rPr>
    </w:pPr>
  </w:p>
  <w:p w:rsidR="00376763" w:rsidRDefault="00376763">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A4C0B"/>
    <w:multiLevelType w:val="hybridMultilevel"/>
    <w:tmpl w:val="95E022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B259CA"/>
    <w:multiLevelType w:val="multilevel"/>
    <w:tmpl w:val="BE08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75706"/>
    <w:multiLevelType w:val="hybridMultilevel"/>
    <w:tmpl w:val="F016062A"/>
    <w:lvl w:ilvl="0" w:tplc="06D8C9F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E77F15"/>
    <w:multiLevelType w:val="multilevel"/>
    <w:tmpl w:val="1E82A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771A82"/>
    <w:multiLevelType w:val="hybridMultilevel"/>
    <w:tmpl w:val="F950F80E"/>
    <w:lvl w:ilvl="0" w:tplc="9934F0F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3E2948"/>
    <w:multiLevelType w:val="multilevel"/>
    <w:tmpl w:val="D4568B9C"/>
    <w:lvl w:ilvl="0">
      <w:start w:val="1"/>
      <w:numFmt w:val="bullet"/>
      <w:lvlText w:val="▪"/>
      <w:lvlJc w:val="left"/>
      <w:pPr>
        <w:ind w:left="720" w:hanging="360"/>
      </w:pPr>
      <w:rPr>
        <w:rFonts w:ascii="Noto Sans Symbols" w:eastAsia="Noto Sans Symbols" w:hAnsi="Noto Sans Symbols" w:cs="Noto Sans Symbols"/>
        <w:b w:val="0"/>
        <w:i w:val="0"/>
        <w:color w:val="ADADAD"/>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871391"/>
    <w:multiLevelType w:val="hybridMultilevel"/>
    <w:tmpl w:val="EEBE8EB6"/>
    <w:lvl w:ilvl="0" w:tplc="95D6B69C">
      <w:start w:val="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63"/>
    <w:rsid w:val="00047305"/>
    <w:rsid w:val="00065D41"/>
    <w:rsid w:val="00071955"/>
    <w:rsid w:val="000D6C2B"/>
    <w:rsid w:val="00111CCE"/>
    <w:rsid w:val="00151A10"/>
    <w:rsid w:val="001B4EC9"/>
    <w:rsid w:val="002C3AF4"/>
    <w:rsid w:val="00322706"/>
    <w:rsid w:val="00376763"/>
    <w:rsid w:val="00442992"/>
    <w:rsid w:val="004651D7"/>
    <w:rsid w:val="00472614"/>
    <w:rsid w:val="00492EB8"/>
    <w:rsid w:val="004A1C5C"/>
    <w:rsid w:val="004A310F"/>
    <w:rsid w:val="005F0298"/>
    <w:rsid w:val="006656A4"/>
    <w:rsid w:val="007563AB"/>
    <w:rsid w:val="007B443B"/>
    <w:rsid w:val="007F53C7"/>
    <w:rsid w:val="008C102A"/>
    <w:rsid w:val="008E0A5A"/>
    <w:rsid w:val="0096491A"/>
    <w:rsid w:val="009B7009"/>
    <w:rsid w:val="00AC0D0D"/>
    <w:rsid w:val="00AD1326"/>
    <w:rsid w:val="00AE31FC"/>
    <w:rsid w:val="00B261BB"/>
    <w:rsid w:val="00B345BE"/>
    <w:rsid w:val="00B53814"/>
    <w:rsid w:val="00BA593C"/>
    <w:rsid w:val="00BC6DBB"/>
    <w:rsid w:val="00BE376F"/>
    <w:rsid w:val="00C21392"/>
    <w:rsid w:val="00C77225"/>
    <w:rsid w:val="00CE5BAD"/>
    <w:rsid w:val="00CF4A0B"/>
    <w:rsid w:val="00D01988"/>
    <w:rsid w:val="00EB16E0"/>
    <w:rsid w:val="00F521AA"/>
    <w:rsid w:val="00FA3DB1"/>
    <w:rsid w:val="00FA7476"/>
    <w:rsid w:val="00FB75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74D148-7074-4359-AAF1-79690254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240" w:after="0"/>
      <w:outlineLvl w:val="0"/>
    </w:pPr>
    <w:rPr>
      <w:color w:val="2E75B5"/>
      <w:sz w:val="32"/>
      <w:szCs w:val="32"/>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FA3D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3DB1"/>
    <w:rPr>
      <w:rFonts w:ascii="Segoe UI" w:hAnsi="Segoe UI" w:cs="Segoe UI"/>
      <w:sz w:val="18"/>
      <w:szCs w:val="18"/>
    </w:rPr>
  </w:style>
  <w:style w:type="paragraph" w:styleId="Paragraphedeliste">
    <w:name w:val="List Paragraph"/>
    <w:basedOn w:val="Normal"/>
    <w:uiPriority w:val="34"/>
    <w:qFormat/>
    <w:rsid w:val="00442992"/>
    <w:pPr>
      <w:ind w:left="720"/>
      <w:contextualSpacing/>
    </w:pPr>
  </w:style>
  <w:style w:type="paragraph" w:styleId="En-tte">
    <w:name w:val="header"/>
    <w:basedOn w:val="Normal"/>
    <w:link w:val="En-tteCar"/>
    <w:uiPriority w:val="99"/>
    <w:unhideWhenUsed/>
    <w:rsid w:val="004A1C5C"/>
    <w:pPr>
      <w:tabs>
        <w:tab w:val="center" w:pos="4536"/>
        <w:tab w:val="right" w:pos="9072"/>
      </w:tabs>
      <w:spacing w:after="0" w:line="240" w:lineRule="auto"/>
    </w:pPr>
  </w:style>
  <w:style w:type="character" w:customStyle="1" w:styleId="En-tteCar">
    <w:name w:val="En-tête Car"/>
    <w:basedOn w:val="Policepardfaut"/>
    <w:link w:val="En-tte"/>
    <w:uiPriority w:val="99"/>
    <w:rsid w:val="004A1C5C"/>
  </w:style>
  <w:style w:type="paragraph" w:styleId="Pieddepage">
    <w:name w:val="footer"/>
    <w:basedOn w:val="Normal"/>
    <w:link w:val="PieddepageCar"/>
    <w:uiPriority w:val="99"/>
    <w:unhideWhenUsed/>
    <w:rsid w:val="004A1C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1456</Words>
  <Characters>8009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BECLE</dc:creator>
  <cp:lastModifiedBy>Emilie BECLE</cp:lastModifiedBy>
  <cp:revision>3</cp:revision>
  <dcterms:created xsi:type="dcterms:W3CDTF">2019-05-13T12:46:00Z</dcterms:created>
  <dcterms:modified xsi:type="dcterms:W3CDTF">2019-05-13T12:48:00Z</dcterms:modified>
</cp:coreProperties>
</file>