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63" w:rsidRDefault="00442992">
      <w:pPr>
        <w:pStyle w:val="Titre1"/>
        <w:keepNext w:val="0"/>
        <w:keepLines w:val="0"/>
        <w:widowControl w:val="0"/>
        <w:spacing w:before="0" w:after="120" w:line="240" w:lineRule="auto"/>
        <w:jc w:val="center"/>
        <w:rPr>
          <w:b/>
          <w:color w:val="404040"/>
          <w:sz w:val="38"/>
          <w:szCs w:val="38"/>
        </w:rPr>
      </w:pPr>
      <w:r>
        <w:rPr>
          <w:b/>
          <w:color w:val="404040"/>
          <w:sz w:val="38"/>
          <w:szCs w:val="38"/>
        </w:rPr>
        <w:t>Termes de Référence</w:t>
      </w:r>
    </w:p>
    <w:p w:rsidR="00376763" w:rsidRDefault="00376763">
      <w:pPr>
        <w:widowControl w:val="0"/>
        <w:spacing w:after="120" w:line="240" w:lineRule="auto"/>
        <w:rPr>
          <w:color w:val="404040"/>
          <w:sz w:val="12"/>
          <w:szCs w:val="12"/>
        </w:rPr>
      </w:pPr>
    </w:p>
    <w:tbl>
      <w:tblPr>
        <w:tblStyle w:val="a"/>
        <w:tblW w:w="9351" w:type="dxa"/>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410"/>
        <w:gridCol w:w="6941"/>
      </w:tblGrid>
      <w:tr w:rsidR="00376763" w:rsidTr="00376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tcBorders>
          </w:tcPr>
          <w:p w:rsidR="00376763" w:rsidRDefault="00442992">
            <w:pPr>
              <w:widowControl w:val="0"/>
            </w:pPr>
            <w:r>
              <w:t>Titre du Projet</w:t>
            </w:r>
          </w:p>
        </w:tc>
        <w:tc>
          <w:tcPr>
            <w:tcW w:w="6941" w:type="dxa"/>
            <w:tcBorders>
              <w:top w:val="nil"/>
              <w:right w:val="nil"/>
            </w:tcBorders>
          </w:tcPr>
          <w:p w:rsidR="00376763" w:rsidRDefault="00442992">
            <w:pPr>
              <w:widowControl w:val="0"/>
              <w:cnfStyle w:val="100000000000" w:firstRow="1" w:lastRow="0" w:firstColumn="0" w:lastColumn="0" w:oddVBand="0" w:evenVBand="0" w:oddHBand="0" w:evenHBand="0" w:firstRowFirstColumn="0" w:firstRowLastColumn="0" w:lastRowFirstColumn="0" w:lastRowLastColumn="0"/>
            </w:pPr>
            <w:r>
              <w:t>Programme d’Appui aux Gouvernements Ouverts Francophones #PAGOF</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Partenaires</w:t>
            </w:r>
          </w:p>
        </w:tc>
        <w:tc>
          <w:tcPr>
            <w:tcW w:w="6941" w:type="dxa"/>
            <w:tcBorders>
              <w:right w:val="nil"/>
            </w:tcBorders>
          </w:tcPr>
          <w:p w:rsidR="00376763" w:rsidRDefault="00442992">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Tunisie, Côte d’Ivoire, Burkina Faso</w:t>
            </w:r>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Opérateurs</w:t>
            </w:r>
          </w:p>
        </w:tc>
        <w:tc>
          <w:tcPr>
            <w:tcW w:w="6941" w:type="dxa"/>
            <w:tcBorders>
              <w:right w:val="nil"/>
            </w:tcBorders>
          </w:tcPr>
          <w:p w:rsidR="00376763" w:rsidRDefault="00442992">
            <w:pPr>
              <w:widowControl w:val="0"/>
              <w:cnfStyle w:val="000000000000" w:firstRow="0" w:lastRow="0" w:firstColumn="0" w:lastColumn="0" w:oddVBand="0" w:evenVBand="0" w:oddHBand="0" w:evenHBand="0" w:firstRowFirstColumn="0" w:firstRowLastColumn="0" w:lastRowFirstColumn="0" w:lastRowLastColumn="0"/>
              <w:rPr>
                <w:color w:val="404040"/>
              </w:rPr>
            </w:pPr>
            <w:r>
              <w:rPr>
                <w:color w:val="404040"/>
              </w:rPr>
              <w:t xml:space="preserve">Expertise France et </w:t>
            </w:r>
            <w:proofErr w:type="spellStart"/>
            <w:r>
              <w:rPr>
                <w:color w:val="404040"/>
              </w:rPr>
              <w:t>CFi</w:t>
            </w:r>
            <w:proofErr w:type="spellEnd"/>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Directrice de Projet</w:t>
            </w:r>
          </w:p>
        </w:tc>
        <w:tc>
          <w:tcPr>
            <w:tcW w:w="6941" w:type="dxa"/>
            <w:tcBorders>
              <w:right w:val="nil"/>
            </w:tcBorders>
          </w:tcPr>
          <w:p w:rsidR="00376763" w:rsidRDefault="00442992">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 xml:space="preserve">Emilie </w:t>
            </w:r>
            <w:proofErr w:type="spellStart"/>
            <w:r>
              <w:rPr>
                <w:color w:val="404040"/>
              </w:rPr>
              <w:t>Bècle</w:t>
            </w:r>
            <w:proofErr w:type="spellEnd"/>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Email</w:t>
            </w:r>
          </w:p>
        </w:tc>
        <w:tc>
          <w:tcPr>
            <w:tcW w:w="6941" w:type="dxa"/>
            <w:tcBorders>
              <w:right w:val="nil"/>
            </w:tcBorders>
          </w:tcPr>
          <w:p w:rsidR="00376763" w:rsidRDefault="007676CF">
            <w:pPr>
              <w:widowControl w:val="0"/>
              <w:cnfStyle w:val="000000000000" w:firstRow="0" w:lastRow="0" w:firstColumn="0" w:lastColumn="0" w:oddVBand="0" w:evenVBand="0" w:oddHBand="0" w:evenHBand="0" w:firstRowFirstColumn="0" w:firstRowLastColumn="0" w:lastRowFirstColumn="0" w:lastRowLastColumn="0"/>
              <w:rPr>
                <w:color w:val="404040"/>
              </w:rPr>
            </w:pPr>
            <w:hyperlink r:id="rId7">
              <w:r w:rsidR="00442992">
                <w:rPr>
                  <w:color w:val="0563C1"/>
                  <w:u w:val="single"/>
                </w:rPr>
                <w:t>Emilie.becle@expertisefrance</w:t>
              </w:r>
            </w:hyperlink>
            <w:r w:rsidR="00442992">
              <w:rPr>
                <w:color w:val="0563C1"/>
                <w:u w:val="single"/>
              </w:rPr>
              <w:t>.fr</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Pays/institution</w:t>
            </w:r>
          </w:p>
        </w:tc>
        <w:tc>
          <w:tcPr>
            <w:tcW w:w="6941" w:type="dxa"/>
            <w:tcBorders>
              <w:right w:val="nil"/>
            </w:tcBorders>
          </w:tcPr>
          <w:p w:rsidR="00376763" w:rsidRDefault="00AE31FC" w:rsidP="00AE31FC">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 xml:space="preserve">Tunisie </w:t>
            </w:r>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Opérateur sur l’activité</w:t>
            </w:r>
          </w:p>
        </w:tc>
        <w:tc>
          <w:tcPr>
            <w:tcW w:w="6941" w:type="dxa"/>
            <w:tcBorders>
              <w:right w:val="nil"/>
            </w:tcBorders>
          </w:tcPr>
          <w:p w:rsidR="00376763" w:rsidRDefault="00442992">
            <w:pPr>
              <w:widowControl w:val="0"/>
              <w:cnfStyle w:val="000000000000" w:firstRow="0" w:lastRow="0" w:firstColumn="0" w:lastColumn="0" w:oddVBand="0" w:evenVBand="0" w:oddHBand="0" w:evenHBand="0" w:firstRowFirstColumn="0" w:firstRowLastColumn="0" w:lastRowFirstColumn="0" w:lastRowLastColumn="0"/>
              <w:rPr>
                <w:b/>
                <w:color w:val="404040"/>
              </w:rPr>
            </w:pPr>
            <w:r>
              <w:rPr>
                <w:b/>
                <w:color w:val="404040"/>
              </w:rPr>
              <w:t>Expertise France</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cBorders>
          </w:tcPr>
          <w:p w:rsidR="00376763" w:rsidRDefault="00442992">
            <w:pPr>
              <w:widowControl w:val="0"/>
            </w:pPr>
            <w:r>
              <w:t>Activité</w:t>
            </w:r>
          </w:p>
        </w:tc>
        <w:tc>
          <w:tcPr>
            <w:tcW w:w="6941" w:type="dxa"/>
            <w:tcBorders>
              <w:bottom w:val="single" w:sz="24" w:space="0" w:color="FFFFFF"/>
              <w:right w:val="nil"/>
            </w:tcBorders>
          </w:tcPr>
          <w:p w:rsidR="00376763" w:rsidRDefault="00794B8B" w:rsidP="00D76E76">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A 2 – 2.2</w:t>
            </w:r>
            <w:r w:rsidR="00EB16E0">
              <w:rPr>
                <w:b/>
                <w:color w:val="404040"/>
              </w:rPr>
              <w:t xml:space="preserve"> 5 </w:t>
            </w:r>
            <w:proofErr w:type="spellStart"/>
            <w:r w:rsidR="008206F3">
              <w:rPr>
                <w:b/>
                <w:color w:val="404040"/>
              </w:rPr>
              <w:t>Formation</w:t>
            </w:r>
            <w:r>
              <w:rPr>
                <w:b/>
                <w:color w:val="404040"/>
              </w:rPr>
              <w:t>sur</w:t>
            </w:r>
            <w:proofErr w:type="spellEnd"/>
            <w:r>
              <w:rPr>
                <w:b/>
                <w:color w:val="404040"/>
              </w:rPr>
              <w:t xml:space="preserve"> le suivi, l’évaluation, la coordination</w:t>
            </w:r>
            <w:r w:rsidR="00D76E76">
              <w:rPr>
                <w:b/>
                <w:color w:val="404040"/>
              </w:rPr>
              <w:t xml:space="preserve"> et le leadership dans le cadre de la mise en œuvre du</w:t>
            </w:r>
            <w:r>
              <w:rPr>
                <w:b/>
                <w:color w:val="404040"/>
              </w:rPr>
              <w:t xml:space="preserve"> PAN</w:t>
            </w:r>
            <w:r w:rsidR="00D76E76">
              <w:rPr>
                <w:b/>
                <w:color w:val="404040"/>
              </w:rPr>
              <w:t xml:space="preserve"> PGO</w:t>
            </w:r>
          </w:p>
        </w:tc>
      </w:tr>
    </w:tbl>
    <w:p w:rsidR="00D76E76" w:rsidRDefault="00D76E76">
      <w:pPr>
        <w:pStyle w:val="Titre1"/>
        <w:spacing w:before="0" w:after="120" w:line="240" w:lineRule="auto"/>
        <w:rPr>
          <w:b/>
          <w:color w:val="404040"/>
        </w:rPr>
      </w:pPr>
    </w:p>
    <w:p w:rsidR="008206F3" w:rsidRDefault="00D76E76" w:rsidP="00D76E76">
      <w:pPr>
        <w:pStyle w:val="Titre1"/>
        <w:spacing w:before="0" w:after="120" w:line="240" w:lineRule="auto"/>
        <w:jc w:val="center"/>
        <w:rPr>
          <w:b/>
          <w:color w:val="404040"/>
        </w:rPr>
      </w:pPr>
      <w:proofErr w:type="spellStart"/>
      <w:r>
        <w:rPr>
          <w:b/>
          <w:color w:val="404040"/>
        </w:rPr>
        <w:t>Formationsur</w:t>
      </w:r>
      <w:proofErr w:type="spellEnd"/>
      <w:r>
        <w:rPr>
          <w:b/>
          <w:color w:val="404040"/>
        </w:rPr>
        <w:t xml:space="preserve"> le suivi, l’évaluation, la coordination et le leadership dans le cadre de la mise en œuvre du PAN PGO</w:t>
      </w:r>
    </w:p>
    <w:p w:rsidR="00D76E76" w:rsidRPr="00D76E76" w:rsidRDefault="00D76E76" w:rsidP="00D76E76"/>
    <w:p w:rsidR="00376763" w:rsidRDefault="00442992">
      <w:pPr>
        <w:pStyle w:val="Titre1"/>
        <w:spacing w:before="0" w:after="120" w:line="240" w:lineRule="auto"/>
      </w:pPr>
      <w:r>
        <w:t>Description et contexte du PAGOF</w:t>
      </w:r>
    </w:p>
    <w:p w:rsidR="00376763" w:rsidRDefault="00442992">
      <w:pPr>
        <w:jc w:val="both"/>
      </w:pPr>
      <w:r>
        <w:t xml:space="preserve">Lors de sa co-présidence du Partenariat pour un Gouvernement Ouvert (PGO - sept. 16-sept. 17), la France s’est engagée à soutenir la transparence de l’action publique au niveau international en affichant un soutien aux pays francophones dans la mise en œuvre de leur plan d’action. Dans cette perspective, l’AFD a instruit et financé le </w:t>
      </w:r>
      <w:r>
        <w:rPr>
          <w:b/>
        </w:rPr>
        <w:t>Projet d’Appui aux Gouvernements Ouverts Francophones (PAGOF)</w:t>
      </w:r>
      <w:r>
        <w:t>.</w:t>
      </w:r>
    </w:p>
    <w:p w:rsidR="00376763" w:rsidRDefault="00442992">
      <w:pPr>
        <w:jc w:val="both"/>
      </w:pPr>
      <w:r>
        <w:t xml:space="preserve">Sur cette base l’AFD a décidé de confier à Expertise France (Agence française d’Expertise Technique Internationale) et </w:t>
      </w:r>
      <w:proofErr w:type="spellStart"/>
      <w:r>
        <w:t>CFi</w:t>
      </w:r>
      <w:proofErr w:type="spellEnd"/>
      <w:r>
        <w:t xml:space="preserve"> (Agence Française de coopération médias) ce projet d’Assistance Technique sur une durée de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rsidR="00376763" w:rsidRDefault="00442992">
      <w:pPr>
        <w:jc w:val="both"/>
      </w:pPr>
      <w:r>
        <w:t xml:space="preserve">L’objectif général du #PAGOF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démarche d’adhésion au PGO. Dans ce cadre, Expertise France se chargera plus particulièrement de l’appui aux autorités, et </w:t>
      </w:r>
      <w:proofErr w:type="spellStart"/>
      <w:r>
        <w:t>CFi</w:t>
      </w:r>
      <w:proofErr w:type="spellEnd"/>
      <w:r>
        <w:t xml:space="preserve"> de l’appui aux organisations de la société civile (dont les médias).</w:t>
      </w:r>
    </w:p>
    <w:p w:rsidR="00376763" w:rsidRDefault="00442992" w:rsidP="0013498C">
      <w:pPr>
        <w:jc w:val="both"/>
      </w:pPr>
      <w:r>
        <w:t>Deux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d’Action National (PAN).</w:t>
      </w:r>
    </w:p>
    <w:p w:rsidR="00376763" w:rsidRDefault="00442992">
      <w:pPr>
        <w:pStyle w:val="Titre1"/>
        <w:spacing w:before="0" w:after="120" w:line="240" w:lineRule="auto"/>
      </w:pPr>
      <w:r>
        <w:lastRenderedPageBreak/>
        <w:t>Description des Objectifs de l’activité</w:t>
      </w:r>
    </w:p>
    <w:p w:rsidR="00376763" w:rsidRPr="00B345BE" w:rsidRDefault="00442992">
      <w:pPr>
        <w:widowControl w:val="0"/>
        <w:spacing w:after="120" w:line="240" w:lineRule="auto"/>
        <w:jc w:val="both"/>
      </w:pPr>
      <w:r w:rsidRPr="00B345BE">
        <w:t>L’activité s’exerce dans</w:t>
      </w:r>
      <w:r w:rsidR="00EB16E0" w:rsidRPr="00B345BE">
        <w:t xml:space="preserve"> le cadre de </w:t>
      </w:r>
      <w:r w:rsidR="00FD34D6">
        <w:t>l’Axe A : Sensibilisation aux principes de gouvernement ouvert et principes méthodologiques liés au PGO </w:t>
      </w:r>
    </w:p>
    <w:p w:rsidR="00593925" w:rsidRDefault="00593925" w:rsidP="00593925">
      <w:pPr>
        <w:widowControl w:val="0"/>
        <w:spacing w:after="120" w:line="240" w:lineRule="auto"/>
        <w:jc w:val="both"/>
      </w:pPr>
      <w:r>
        <w:t xml:space="preserve">Dans le cadre de la mise en œuvre d’un Plan d’Action National PGO, </w:t>
      </w:r>
      <w:r w:rsidR="00DC3A8D">
        <w:t>le rôle</w:t>
      </w:r>
      <w:r w:rsidR="004807B4">
        <w:t xml:space="preserve"> du </w:t>
      </w:r>
      <w:r w:rsidR="00F348BB">
        <w:t xml:space="preserve">Comité de Pilotage PGO </w:t>
      </w:r>
      <w:r w:rsidR="00DC3A8D">
        <w:t xml:space="preserve">est crucial. Celui-ci a un rôle multiple que ce soit dans </w:t>
      </w:r>
      <w:r>
        <w:t>le processus et les méthodes PGO des rapports d’auto-évaluation annuels, en consultation avec la société civile</w:t>
      </w:r>
      <w:r w:rsidR="00DC3A8D">
        <w:t xml:space="preserve">, dans le suivi de la mise en œuvre des engagements du PAN, dans la </w:t>
      </w:r>
      <w:r w:rsidR="004807B4">
        <w:t xml:space="preserve">mobilisation et la </w:t>
      </w:r>
      <w:r w:rsidR="00DC3A8D">
        <w:t xml:space="preserve">coordination des </w:t>
      </w:r>
      <w:r w:rsidR="004807B4">
        <w:t>porteurs d’engagements comme des autres</w:t>
      </w:r>
      <w:r w:rsidR="00DC3A8D">
        <w:t xml:space="preserve"> acteurs du </w:t>
      </w:r>
      <w:r w:rsidR="0013498C">
        <w:t>Gouvernement Ouvert</w:t>
      </w:r>
      <w:r w:rsidR="001E16DB">
        <w:t xml:space="preserve"> </w:t>
      </w:r>
      <w:r w:rsidR="004807B4">
        <w:t>ainsi que</w:t>
      </w:r>
      <w:r w:rsidR="00DC3A8D">
        <w:t xml:space="preserve"> dans le portage même du Plan d’Action et du PGO au nive</w:t>
      </w:r>
      <w:r w:rsidR="004807B4">
        <w:t>au politique et stratégique.</w:t>
      </w:r>
    </w:p>
    <w:p w:rsidR="00DC3A8D" w:rsidRDefault="00DC3A8D" w:rsidP="00593925">
      <w:pPr>
        <w:widowControl w:val="0"/>
        <w:spacing w:after="120" w:line="240" w:lineRule="auto"/>
        <w:jc w:val="both"/>
      </w:pPr>
    </w:p>
    <w:p w:rsidR="00D63AFE" w:rsidRDefault="00D63AFE" w:rsidP="0048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rPr>
      </w:pPr>
      <w:r>
        <w:t xml:space="preserve">L’Objectif de l’activité </w:t>
      </w:r>
      <w:r w:rsidRPr="00D97984">
        <w:t>est </w:t>
      </w:r>
      <w:r w:rsidR="00576947">
        <w:rPr>
          <w:rFonts w:cs="Times New Roman"/>
        </w:rPr>
        <w:t>donc de</w:t>
      </w:r>
      <w:r w:rsidRPr="00D97984">
        <w:rPr>
          <w:rFonts w:cs="Times New Roman"/>
        </w:rPr>
        <w:t> renforcer les compétenc</w:t>
      </w:r>
      <w:r w:rsidR="00F348BB">
        <w:rPr>
          <w:rFonts w:cs="Times New Roman"/>
        </w:rPr>
        <w:t xml:space="preserve">es des membres du </w:t>
      </w:r>
      <w:r w:rsidR="00576947">
        <w:rPr>
          <w:rFonts w:cs="Times New Roman"/>
        </w:rPr>
        <w:t xml:space="preserve">Comité </w:t>
      </w:r>
      <w:r w:rsidR="00F348BB">
        <w:rPr>
          <w:rFonts w:cs="Times New Roman"/>
        </w:rPr>
        <w:t>de Pilotage PGO</w:t>
      </w:r>
      <w:r w:rsidR="00576947">
        <w:rPr>
          <w:rFonts w:cs="Times New Roman"/>
        </w:rPr>
        <w:t xml:space="preserve"> et de l’</w:t>
      </w:r>
      <w:r w:rsidR="00FB62DC">
        <w:rPr>
          <w:rFonts w:cs="Times New Roman"/>
        </w:rPr>
        <w:t>Unité</w:t>
      </w:r>
      <w:r w:rsidR="00576947">
        <w:rPr>
          <w:rFonts w:cs="Times New Roman"/>
        </w:rPr>
        <w:t xml:space="preserve"> de l’Administration Electronique</w:t>
      </w:r>
      <w:r w:rsidR="00FB62DC">
        <w:rPr>
          <w:rFonts w:cs="Times New Roman"/>
        </w:rPr>
        <w:t xml:space="preserve"> et </w:t>
      </w:r>
      <w:r w:rsidR="00F348BB">
        <w:rPr>
          <w:rFonts w:cs="Times New Roman"/>
        </w:rPr>
        <w:t>points focaux PGO en</w:t>
      </w:r>
      <w:r w:rsidRPr="00D97984">
        <w:rPr>
          <w:rFonts w:cs="Times New Roman"/>
        </w:rPr>
        <w:t xml:space="preserve"> </w:t>
      </w:r>
      <w:r w:rsidR="00FB62DC">
        <w:rPr>
          <w:rFonts w:cs="Times New Roman"/>
        </w:rPr>
        <w:t xml:space="preserve">matière de pilotage </w:t>
      </w:r>
      <w:r w:rsidR="00483E54">
        <w:rPr>
          <w:rFonts w:cs="Times New Roman"/>
        </w:rPr>
        <w:t xml:space="preserve">de projet dans le cadre du PGO, et notamment de : </w:t>
      </w:r>
    </w:p>
    <w:p w:rsidR="00485059" w:rsidRDefault="00485059" w:rsidP="00FA6270">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pPr>
      <w:r>
        <w:t>Renforcer les capacités des</w:t>
      </w:r>
      <w:r w:rsidR="00F348BB">
        <w:t xml:space="preserve"> Membres du Copil PGO et points focaux</w:t>
      </w:r>
      <w:r>
        <w:t xml:space="preserve">  dans le suivi et l’évaluation des engagements du PAN, que ce soit dans le cadre de la méthodologie PGO (exigence</w:t>
      </w:r>
      <w:r w:rsidR="00483E54">
        <w:t>s</w:t>
      </w:r>
      <w:r>
        <w:t xml:space="preserve"> de l’auto-évaluation, de l’</w:t>
      </w:r>
      <w:r w:rsidR="00BB278E">
        <w:t>IRM,</w:t>
      </w:r>
      <w:r w:rsidR="00D92B22">
        <w:t xml:space="preserve"> </w:t>
      </w:r>
      <w:r>
        <w:t>etc…) que dans le cadre du pilotage de projet complexe plus large (</w:t>
      </w:r>
      <w:r w:rsidR="00C8645C">
        <w:t xml:space="preserve">planification, monitoring, tableaux de bord, budgétisation, gestion des risques, </w:t>
      </w:r>
      <w:r w:rsidR="00BB278E">
        <w:t>comment mesurer les impacts des engagements</w:t>
      </w:r>
      <w:r w:rsidR="00D92B22">
        <w:t xml:space="preserve"> </w:t>
      </w:r>
      <w:r w:rsidR="00C8645C">
        <w:t>etc…)</w:t>
      </w:r>
      <w:r w:rsidR="00DD447F">
        <w:t xml:space="preserve"> ; </w:t>
      </w:r>
    </w:p>
    <w:p w:rsidR="00DD447F" w:rsidRDefault="00BB278E" w:rsidP="00DD447F">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pPr>
      <w:r>
        <w:t>R</w:t>
      </w:r>
      <w:r w:rsidR="00FB62DC">
        <w:t xml:space="preserve">enforcer les capacités des participants dans le portage politique du PAN et du PGO : de la coordination avec les porteurs d’engagements de l’administration et de la société civile, à la coordination </w:t>
      </w:r>
      <w:r w:rsidR="00485059">
        <w:t xml:space="preserve">plus large </w:t>
      </w:r>
      <w:r w:rsidR="00FB62DC">
        <w:t>de l’ensemble des acteurs du gouvernement ouvert, jusqu’au leadership pour un portage politique essentie</w:t>
      </w:r>
      <w:r w:rsidR="00DD447F">
        <w:t>l ;</w:t>
      </w:r>
    </w:p>
    <w:p w:rsidR="00576947" w:rsidRDefault="00BB278E" w:rsidP="00576947">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pPr>
      <w:r>
        <w:t>Partager</w:t>
      </w:r>
      <w:r w:rsidR="00576947">
        <w:t xml:space="preserve"> des pistes de réflexion et échanger sur les outils, </w:t>
      </w:r>
      <w:r w:rsidR="00DD447F">
        <w:t>le</w:t>
      </w:r>
      <w:r w:rsidR="00C90BD9">
        <w:t>s</w:t>
      </w:r>
      <w:r w:rsidR="00DD447F">
        <w:t xml:space="preserve"> cadre</w:t>
      </w:r>
      <w:r w:rsidR="00C90BD9">
        <w:t>s</w:t>
      </w:r>
      <w:r w:rsidR="00DD447F">
        <w:t xml:space="preserve"> réglementaire</w:t>
      </w:r>
      <w:r w:rsidR="00C90BD9">
        <w:t>s</w:t>
      </w:r>
      <w:r w:rsidR="00DD447F">
        <w:t xml:space="preserve"> mis en place, l</w:t>
      </w:r>
      <w:r w:rsidR="00576947">
        <w:t>es expériences et bonnes pratiques en termes d’auto</w:t>
      </w:r>
      <w:r>
        <w:t>-évaluation, de suivi-</w:t>
      </w:r>
      <w:r w:rsidR="00DD447F">
        <w:t>évaluation</w:t>
      </w:r>
      <w:r>
        <w:t>, mécanismes de coordination et leadership</w:t>
      </w:r>
      <w:r w:rsidR="00DD447F">
        <w:t xml:space="preserve"> établis</w:t>
      </w:r>
      <w:r w:rsidR="00576947">
        <w:t xml:space="preserve"> par d</w:t>
      </w:r>
      <w:r>
        <w:t xml:space="preserve">’autres </w:t>
      </w:r>
      <w:r w:rsidR="00DD447F">
        <w:t>pays</w:t>
      </w:r>
      <w:r w:rsidR="00576947">
        <w:t xml:space="preserve"> ayant adhéré</w:t>
      </w:r>
      <w:r w:rsidR="00DD447F">
        <w:t>s</w:t>
      </w:r>
      <w:r w:rsidR="00576947">
        <w:t xml:space="preserve"> au PGO</w:t>
      </w:r>
      <w:r>
        <w:t>, notamment ceux développés par la France,</w:t>
      </w:r>
      <w:r w:rsidR="00576947">
        <w:t xml:space="preserve"> ainsi que sur les méthodes d’inclusion de la société civile.</w:t>
      </w:r>
    </w:p>
    <w:p w:rsidR="00593925" w:rsidRDefault="00593925" w:rsidP="00593925">
      <w:pPr>
        <w:widowControl w:val="0"/>
        <w:spacing w:after="120" w:line="240" w:lineRule="auto"/>
        <w:jc w:val="both"/>
      </w:pPr>
    </w:p>
    <w:p w:rsidR="00483E54" w:rsidRPr="00DD5AC5" w:rsidRDefault="00483E54" w:rsidP="00D92B22">
      <w:pPr>
        <w:widowControl w:val="0"/>
        <w:spacing w:after="120" w:line="240" w:lineRule="auto"/>
        <w:jc w:val="both"/>
      </w:pPr>
      <w:r>
        <w:t>Au vu de l’objectif reche</w:t>
      </w:r>
      <w:r w:rsidR="00D92B22">
        <w:t xml:space="preserve">rché, il s’agira pour l’expert </w:t>
      </w:r>
      <w:r>
        <w:t>de</w:t>
      </w:r>
      <w:r w:rsidRPr="00DD5AC5">
        <w:t xml:space="preserve"> contribuer </w:t>
      </w:r>
      <w:r>
        <w:t xml:space="preserve">plus spécifiquement </w:t>
      </w:r>
      <w:r w:rsidRPr="00DD5AC5">
        <w:t>à :</w:t>
      </w:r>
    </w:p>
    <w:p w:rsidR="00B661EA" w:rsidRDefault="00F348BB" w:rsidP="00B661EA">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Renforcer les capacités des membres du Copil PGO et les points focaux</w:t>
      </w:r>
      <w:r w:rsidR="00B661EA">
        <w:t xml:space="preserve"> sur la méthodologie d’évaluation du Processus PGO et plus précisément sur la méthodologie d’auto-évaluation </w:t>
      </w:r>
      <w:r>
        <w:t xml:space="preserve">et de suivi </w:t>
      </w:r>
      <w:r w:rsidR="00B661EA">
        <w:t>des engagements du PAN</w:t>
      </w:r>
      <w:r w:rsidR="00731497">
        <w:t> ;</w:t>
      </w:r>
    </w:p>
    <w:p w:rsidR="00B661EA" w:rsidRDefault="00731497" w:rsidP="00B661EA">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Plus </w:t>
      </w:r>
      <w:r w:rsidR="00050735">
        <w:t>largement,</w:t>
      </w:r>
      <w:r w:rsidR="00D92B22">
        <w:t xml:space="preserve"> </w:t>
      </w:r>
      <w:r w:rsidR="00B661EA">
        <w:t xml:space="preserve">discuter </w:t>
      </w:r>
      <w:r>
        <w:t>et mettre en place des</w:t>
      </w:r>
      <w:r w:rsidR="00B661EA">
        <w:t xml:space="preserve"> outils </w:t>
      </w:r>
      <w:r>
        <w:t>de suivi des engagements (monitoring, tableaux de bords) à travers notamment</w:t>
      </w:r>
      <w:r w:rsidR="00B661EA">
        <w:t xml:space="preserve"> les bonnes pratiques et les expériences pertinentes mises en place par les gou</w:t>
      </w:r>
      <w:r>
        <w:t xml:space="preserve">vernements et la société civile ; </w:t>
      </w:r>
    </w:p>
    <w:p w:rsidR="00731497" w:rsidRDefault="00050735" w:rsidP="00731497">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D</w:t>
      </w:r>
      <w:r w:rsidR="00E70B19">
        <w:t>iscuter et mettre en place des outils d’évaluation des engagements, un</w:t>
      </w:r>
      <w:r w:rsidR="00731497" w:rsidRPr="009F1266">
        <w:t xml:space="preserve"> cadre de performance de suivi et d'évaluation de la mise en œuvre des engagements</w:t>
      </w:r>
      <w:r w:rsidR="002D3FD6">
        <w:t xml:space="preserve"> (système de mesure des impacts -indicateurs qualitatifs et quantitatifs)</w:t>
      </w:r>
      <w:r w:rsidR="00731497" w:rsidRPr="009F1266">
        <w:t xml:space="preserve">, </w:t>
      </w:r>
      <w:r w:rsidR="00E70B19">
        <w:t>mesurer le taux de réalisation des engagements, les étapes clés,</w:t>
      </w:r>
      <w:r w:rsidR="00D92B22">
        <w:t xml:space="preserve"> </w:t>
      </w:r>
      <w:r w:rsidR="00731497" w:rsidRPr="009F1266">
        <w:t>en fonction d'indicateurs précis</w:t>
      </w:r>
      <w:r w:rsidR="00731497">
        <w:t xml:space="preserve"> et objectivement vérifiables ; </w:t>
      </w:r>
    </w:p>
    <w:p w:rsidR="00E224A5" w:rsidRDefault="00050735" w:rsidP="00B661EA">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F</w:t>
      </w:r>
      <w:r w:rsidR="00E224A5">
        <w:t xml:space="preserve">ormer les </w:t>
      </w:r>
      <w:r w:rsidR="00F348BB">
        <w:t xml:space="preserve">membres du Copil PGO et points focaux </w:t>
      </w:r>
      <w:r w:rsidR="00E224A5">
        <w:t xml:space="preserve">à la gestion plus générale de projet complexe : </w:t>
      </w:r>
      <w:r>
        <w:t xml:space="preserve">outils de gestion de projet, </w:t>
      </w:r>
      <w:r w:rsidR="00E224A5">
        <w:t xml:space="preserve">organisation, planification, budgétisation, gestion des risques, </w:t>
      </w:r>
      <w:r w:rsidR="0013498C">
        <w:t>gestion</w:t>
      </w:r>
      <w:r w:rsidR="00E224A5">
        <w:t xml:space="preserve"> du changement</w:t>
      </w:r>
      <w:r>
        <w:t> ;</w:t>
      </w:r>
    </w:p>
    <w:p w:rsidR="00050735" w:rsidRPr="005D139F" w:rsidRDefault="00050735" w:rsidP="00050735">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B</w:t>
      </w:r>
      <w:r w:rsidR="002D3FD6">
        <w:t xml:space="preserve">ien définir </w:t>
      </w:r>
      <w:r w:rsidR="00B661EA">
        <w:t>le</w:t>
      </w:r>
      <w:r w:rsidR="002D3FD6">
        <w:t>s</w:t>
      </w:r>
      <w:r w:rsidR="00D92B22">
        <w:t xml:space="preserve"> </w:t>
      </w:r>
      <w:r w:rsidR="002D3FD6">
        <w:t xml:space="preserve">rôles </w:t>
      </w:r>
      <w:r w:rsidR="00B661EA" w:rsidRPr="00FC0229">
        <w:t>et obligation</w:t>
      </w:r>
      <w:r w:rsidR="002D3FD6">
        <w:t>s</w:t>
      </w:r>
      <w:r w:rsidR="00D92B22">
        <w:t xml:space="preserve"> </w:t>
      </w:r>
      <w:r w:rsidR="00B661EA">
        <w:t xml:space="preserve">de l’administration </w:t>
      </w:r>
      <w:r w:rsidR="002D3FD6">
        <w:t>et de la société civile dans l’élaboration de ce suivi et de cette évaluation de la mise en œuvre du PAN</w:t>
      </w:r>
      <w:r w:rsidR="00D92B22">
        <w:t xml:space="preserve"> </w:t>
      </w:r>
      <w:r>
        <w:t>et perfectionner le</w:t>
      </w:r>
      <w:r w:rsidRPr="00827F6B">
        <w:t xml:space="preserve"> cadre de dialogue et de </w:t>
      </w:r>
      <w:proofErr w:type="spellStart"/>
      <w:r w:rsidRPr="00827F6B">
        <w:t>co</w:t>
      </w:r>
      <w:proofErr w:type="spellEnd"/>
      <w:r w:rsidRPr="00827F6B">
        <w:t>-création de solutions société civile/ gouvernement</w:t>
      </w:r>
      <w:r>
        <w:t>, pour l’inclusion de la société civile dans la mise en œuvre du PAN et son évaluation ;</w:t>
      </w:r>
    </w:p>
    <w:p w:rsidR="00662A55" w:rsidRDefault="00050735" w:rsidP="00B661EA">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lastRenderedPageBreak/>
        <w:t xml:space="preserve">Former les </w:t>
      </w:r>
      <w:r w:rsidR="00F348BB">
        <w:t xml:space="preserve">membres du Copil PGO et points focaux </w:t>
      </w:r>
      <w:r w:rsidR="00F348BB">
        <w:rPr>
          <w:rStyle w:val="Marquedecommentaire"/>
        </w:rPr>
        <w:t>s</w:t>
      </w:r>
      <w:r>
        <w:t xml:space="preserve">ur la coordination de projet : </w:t>
      </w:r>
    </w:p>
    <w:p w:rsidR="00B661EA" w:rsidRDefault="00662A55" w:rsidP="00662A55">
      <w:pPr>
        <w:pStyle w:val="Paragraphedeliste"/>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pPr>
      <w:r>
        <w:t>la</w:t>
      </w:r>
      <w:r w:rsidR="00050735">
        <w:t xml:space="preserve"> coordination au sein des porteurs d’engagements de l’administration et des OSC (Comité technique, OSC et ministères partenaires et porteurs)</w:t>
      </w:r>
      <w:r>
        <w:t xml:space="preserve"> : outils de coordination, responsabilités et rôles de chacun, communication, </w:t>
      </w:r>
      <w:proofErr w:type="spellStart"/>
      <w:r>
        <w:t>reporting</w:t>
      </w:r>
      <w:proofErr w:type="spellEnd"/>
      <w:r>
        <w:t>, redevabilité</w:t>
      </w:r>
    </w:p>
    <w:p w:rsidR="00662A55" w:rsidRDefault="00662A55" w:rsidP="00662A55">
      <w:pPr>
        <w:pStyle w:val="Paragraphedeliste"/>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pPr>
      <w:r>
        <w:t>la coordination en dehors de ce premier cercle, à savoir avec les autres acteurs du PGO </w:t>
      </w:r>
      <w:r w:rsidR="0087692D">
        <w:t xml:space="preserve">et du Gouvernement Ouvert </w:t>
      </w:r>
      <w:r>
        <w:t xml:space="preserve">: que ce soit l’ensemble des ministères, </w:t>
      </w:r>
      <w:r w:rsidR="0087692D">
        <w:t>Hauts fonctionnaires et responsables politiques, la société civile, l</w:t>
      </w:r>
      <w:r>
        <w:t xml:space="preserve">es Partenaires Techniques financiers, </w:t>
      </w:r>
      <w:r w:rsidR="0087692D">
        <w:t xml:space="preserve">la </w:t>
      </w:r>
      <w:r>
        <w:t>Support Unit PGO</w:t>
      </w:r>
      <w:r w:rsidR="00246165">
        <w:t xml:space="preserve"> et autres organes du PGO</w:t>
      </w:r>
      <w:r w:rsidR="008E67B7">
        <w:t xml:space="preserve"> (groupes de travail PGO)</w:t>
      </w:r>
      <w:r w:rsidR="00246165">
        <w:t xml:space="preserve">, </w:t>
      </w:r>
      <w:r w:rsidR="0087692D">
        <w:t xml:space="preserve">les </w:t>
      </w:r>
      <w:r w:rsidR="00246165">
        <w:t xml:space="preserve">acteurs internationaux du PGO (rôle </w:t>
      </w:r>
      <w:r w:rsidR="008E67B7">
        <w:t xml:space="preserve">régulier </w:t>
      </w:r>
      <w:r w:rsidR="00246165">
        <w:t>de communication</w:t>
      </w:r>
      <w:r w:rsidR="008E67B7">
        <w:t xml:space="preserve"> sur le PAN, PGO, initiatives</w:t>
      </w:r>
      <w:r w:rsidR="00246165">
        <w:t xml:space="preserve">, </w:t>
      </w:r>
      <w:r w:rsidR="008E67B7">
        <w:t xml:space="preserve">rôle </w:t>
      </w:r>
      <w:r w:rsidR="00246165">
        <w:t>d’information, de mobilisation, etc…)</w:t>
      </w:r>
    </w:p>
    <w:p w:rsidR="006A5148" w:rsidRDefault="006A5148" w:rsidP="006A5148">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Former les participants sur le leadership et le portage politique : comment porter le PGO au sein de son administration et/ou de la société civile, quels outils, quelle organisation, </w:t>
      </w:r>
      <w:r w:rsidR="008E67B7">
        <w:t xml:space="preserve">quelle sensibilisation, </w:t>
      </w:r>
      <w:r w:rsidR="0087692D">
        <w:t xml:space="preserve">quels messages, </w:t>
      </w:r>
      <w:r w:rsidR="008E67B7">
        <w:t>quel portage ?</w:t>
      </w:r>
    </w:p>
    <w:p w:rsidR="008E67B7" w:rsidRDefault="008E67B7" w:rsidP="008E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p>
    <w:p w:rsidR="008E67B7" w:rsidRDefault="008E67B7" w:rsidP="008E67B7">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A travers tous ces échanges et discussions, il sera pertinent que l’expert s’appuie sur des bonnes pratiques développées par des pays-membres du PGO, et notamment faire un retour d</w:t>
      </w:r>
      <w:r w:rsidR="00352A27">
        <w:t>e l’</w:t>
      </w:r>
      <w:r>
        <w:t xml:space="preserve">expérience </w:t>
      </w:r>
      <w:r w:rsidR="00352A27">
        <w:t xml:space="preserve">française en la matière : quels outils ou plateformes a-t-on mis en œuvre pour faciliter le suivi, l’évaluation, la mise en œuvre du PAN, réunions, forum, tableaux de bords, quel cadre réglementaire pour favoriser ce travail (dans l’open data, l’accès à l’information, etc…) ainsi que sur les méthodes de coordination interministérielle </w:t>
      </w:r>
      <w:r w:rsidR="00443506">
        <w:t xml:space="preserve">(mise en place par </w:t>
      </w:r>
      <w:proofErr w:type="spellStart"/>
      <w:r w:rsidR="00443506">
        <w:t>etalab</w:t>
      </w:r>
      <w:proofErr w:type="spellEnd"/>
      <w:r w:rsidR="00CF49A2">
        <w:t xml:space="preserve"> par exemple</w:t>
      </w:r>
      <w:r w:rsidR="00443506">
        <w:t xml:space="preserve">) </w:t>
      </w:r>
      <w:r w:rsidR="00352A27">
        <w:t>et autre coordination (OSC, acteurs nationaux et internationaux du gouvernement ouvert)</w:t>
      </w:r>
      <w:r w:rsidR="00D227A7">
        <w:t xml:space="preserve"> et portage politique pertinent</w:t>
      </w:r>
      <w:r w:rsidR="00CF49A2">
        <w:t>.</w:t>
      </w:r>
    </w:p>
    <w:p w:rsidR="00376763" w:rsidRDefault="00376763">
      <w:pPr>
        <w:widowControl w:val="0"/>
        <w:spacing w:after="120" w:line="240" w:lineRule="auto"/>
        <w:jc w:val="both"/>
      </w:pPr>
    </w:p>
    <w:p w:rsidR="008E67B7" w:rsidRPr="00AD1326" w:rsidRDefault="008E67B7">
      <w:pPr>
        <w:widowControl w:val="0"/>
        <w:spacing w:after="120" w:line="240" w:lineRule="auto"/>
        <w:jc w:val="both"/>
        <w:rPr>
          <w:color w:val="000000" w:themeColor="text1"/>
        </w:rPr>
      </w:pPr>
    </w:p>
    <w:p w:rsidR="00376763" w:rsidRPr="00AD1326" w:rsidRDefault="00442992">
      <w:pPr>
        <w:widowControl w:val="0"/>
        <w:spacing w:after="120" w:line="240" w:lineRule="auto"/>
        <w:jc w:val="both"/>
        <w:rPr>
          <w:color w:val="000000" w:themeColor="text1"/>
        </w:rPr>
      </w:pPr>
      <w:r w:rsidRPr="00AD1326">
        <w:rPr>
          <w:color w:val="000000" w:themeColor="text1"/>
        </w:rPr>
        <w:t xml:space="preserve">Le public cible est : </w:t>
      </w:r>
    </w:p>
    <w:p w:rsidR="00346FCB" w:rsidRDefault="00CF49A2" w:rsidP="00346FCB">
      <w:pPr>
        <w:widowControl w:val="0"/>
        <w:numPr>
          <w:ilvl w:val="0"/>
          <w:numId w:val="2"/>
        </w:numPr>
        <w:pBdr>
          <w:top w:val="nil"/>
          <w:left w:val="nil"/>
          <w:bottom w:val="nil"/>
          <w:right w:val="nil"/>
          <w:between w:val="nil"/>
        </w:pBdr>
        <w:spacing w:after="0" w:line="240" w:lineRule="auto"/>
        <w:contextualSpacing/>
        <w:jc w:val="both"/>
        <w:rPr>
          <w:color w:val="000000" w:themeColor="text1"/>
        </w:rPr>
      </w:pPr>
      <w:r>
        <w:rPr>
          <w:color w:val="000000" w:themeColor="text1"/>
        </w:rPr>
        <w:t>Le point focal PGO administration :</w:t>
      </w:r>
      <w:r w:rsidR="00346FCB">
        <w:rPr>
          <w:color w:val="000000" w:themeColor="text1"/>
        </w:rPr>
        <w:t xml:space="preserve"> 4 personnes de </w:t>
      </w:r>
      <w:r>
        <w:rPr>
          <w:color w:val="000000" w:themeColor="text1"/>
        </w:rPr>
        <w:t>l’Unité de l’administration Electronique</w:t>
      </w:r>
    </w:p>
    <w:p w:rsidR="00CF49A2" w:rsidRDefault="00CF49A2" w:rsidP="00BE376F">
      <w:pPr>
        <w:widowControl w:val="0"/>
        <w:numPr>
          <w:ilvl w:val="0"/>
          <w:numId w:val="2"/>
        </w:numPr>
        <w:pBdr>
          <w:top w:val="nil"/>
          <w:left w:val="nil"/>
          <w:bottom w:val="nil"/>
          <w:right w:val="nil"/>
          <w:between w:val="nil"/>
        </w:pBdr>
        <w:spacing w:after="0" w:line="240" w:lineRule="auto"/>
        <w:contextualSpacing/>
        <w:jc w:val="both"/>
        <w:rPr>
          <w:color w:val="000000" w:themeColor="text1"/>
        </w:rPr>
      </w:pPr>
      <w:r>
        <w:rPr>
          <w:color w:val="000000" w:themeColor="text1"/>
        </w:rPr>
        <w:t>Le Comité technique PGO : OSC et Ministère</w:t>
      </w:r>
      <w:r w:rsidR="00D227A7">
        <w:rPr>
          <w:color w:val="000000" w:themeColor="text1"/>
        </w:rPr>
        <w:t>s</w:t>
      </w:r>
      <w:r>
        <w:rPr>
          <w:color w:val="000000" w:themeColor="text1"/>
        </w:rPr>
        <w:t xml:space="preserve"> porteurs d’engagement</w:t>
      </w:r>
    </w:p>
    <w:p w:rsidR="00376763" w:rsidRPr="00AD1326" w:rsidRDefault="00BE376F">
      <w:pPr>
        <w:widowControl w:val="0"/>
        <w:numPr>
          <w:ilvl w:val="0"/>
          <w:numId w:val="2"/>
        </w:numPr>
        <w:pBdr>
          <w:top w:val="nil"/>
          <w:left w:val="nil"/>
          <w:bottom w:val="nil"/>
          <w:right w:val="nil"/>
          <w:between w:val="nil"/>
        </w:pBdr>
        <w:spacing w:after="120" w:line="240" w:lineRule="auto"/>
        <w:contextualSpacing/>
        <w:jc w:val="both"/>
        <w:rPr>
          <w:color w:val="000000" w:themeColor="text1"/>
        </w:rPr>
      </w:pPr>
      <w:r w:rsidRPr="00AD1326">
        <w:rPr>
          <w:color w:val="000000" w:themeColor="text1"/>
        </w:rPr>
        <w:t>2</w:t>
      </w:r>
      <w:r w:rsidR="00493798">
        <w:rPr>
          <w:color w:val="000000" w:themeColor="text1"/>
        </w:rPr>
        <w:t>0</w:t>
      </w:r>
      <w:r w:rsidR="00CF49A2">
        <w:rPr>
          <w:color w:val="000000" w:themeColor="text1"/>
        </w:rPr>
        <w:t>-22</w:t>
      </w:r>
      <w:r w:rsidR="00442992" w:rsidRPr="00AD1326">
        <w:rPr>
          <w:color w:val="000000" w:themeColor="text1"/>
        </w:rPr>
        <w:t xml:space="preserve"> personnes maximum</w:t>
      </w:r>
    </w:p>
    <w:p w:rsidR="00FA7476" w:rsidRPr="00AD1326" w:rsidRDefault="00FA7476" w:rsidP="00FA7476">
      <w:pPr>
        <w:spacing w:before="160" w:after="0" w:line="240" w:lineRule="auto"/>
        <w:rPr>
          <w:color w:val="000000" w:themeColor="text1"/>
        </w:rPr>
      </w:pPr>
    </w:p>
    <w:p w:rsidR="00376763" w:rsidRDefault="00376763">
      <w:pPr>
        <w:pStyle w:val="Titre1"/>
        <w:spacing w:before="0" w:after="120" w:line="240" w:lineRule="auto"/>
      </w:pPr>
    </w:p>
    <w:p w:rsidR="00376763" w:rsidRDefault="00442992">
      <w:pPr>
        <w:pStyle w:val="Titre1"/>
        <w:spacing w:before="0" w:after="120" w:line="240" w:lineRule="auto"/>
      </w:pPr>
      <w:r>
        <w:t>Livrables</w:t>
      </w:r>
    </w:p>
    <w:p w:rsidR="00376763"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Formation délivrée</w:t>
      </w:r>
      <w:r w:rsidR="00346FCB">
        <w:rPr>
          <w:color w:val="000000"/>
        </w:rPr>
        <w:t xml:space="preserve"> </w:t>
      </w:r>
      <w:r w:rsidR="00CF49A2">
        <w:rPr>
          <w:color w:val="000000"/>
        </w:rPr>
        <w:t>(avec mise en place d’outils de suivi, tableau de bord, monitoring, cadre de performance pour l’évaluation, etc…)</w:t>
      </w:r>
    </w:p>
    <w:p w:rsidR="00376763"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 xml:space="preserve">Supports de formation </w:t>
      </w:r>
    </w:p>
    <w:p w:rsidR="00376763"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color w:val="000000"/>
        </w:rPr>
      </w:pPr>
      <w:r>
        <w:rPr>
          <w:color w:val="000000"/>
        </w:rPr>
        <w:t xml:space="preserve">Rapport de fin de mission </w:t>
      </w:r>
    </w:p>
    <w:p w:rsidR="00376763" w:rsidRDefault="00376763">
      <w:pPr>
        <w:widowControl w:val="0"/>
        <w:pBdr>
          <w:top w:val="nil"/>
          <w:left w:val="nil"/>
          <w:bottom w:val="nil"/>
          <w:right w:val="nil"/>
          <w:between w:val="nil"/>
        </w:pBdr>
        <w:spacing w:after="120" w:line="240" w:lineRule="auto"/>
        <w:ind w:left="720" w:hanging="720"/>
        <w:jc w:val="both"/>
        <w:rPr>
          <w:color w:val="000000"/>
        </w:rPr>
      </w:pPr>
    </w:p>
    <w:p w:rsidR="00376763" w:rsidRDefault="00442992">
      <w:pPr>
        <w:pStyle w:val="Titre1"/>
        <w:spacing w:before="0" w:after="120" w:line="240" w:lineRule="auto"/>
      </w:pPr>
      <w:r>
        <w:t>Type de contrat</w:t>
      </w:r>
    </w:p>
    <w:p w:rsidR="00376763" w:rsidRDefault="00442992">
      <w:pPr>
        <w:widowControl w:val="0"/>
        <w:spacing w:after="120" w:line="240" w:lineRule="auto"/>
        <w:jc w:val="both"/>
      </w:pPr>
      <w:r>
        <w:t>Court terme</w:t>
      </w:r>
    </w:p>
    <w:p w:rsidR="00376763" w:rsidRDefault="00376763">
      <w:pPr>
        <w:widowControl w:val="0"/>
        <w:spacing w:after="120" w:line="240" w:lineRule="auto"/>
        <w:jc w:val="both"/>
      </w:pPr>
    </w:p>
    <w:p w:rsidR="00376763" w:rsidRDefault="00442992">
      <w:pPr>
        <w:pStyle w:val="Titre1"/>
        <w:spacing w:before="0" w:after="120" w:line="240" w:lineRule="auto"/>
      </w:pPr>
      <w:r>
        <w:t>Nombre de jours d’expertise</w:t>
      </w:r>
    </w:p>
    <w:p w:rsidR="00376763" w:rsidRPr="00AD1326" w:rsidRDefault="0003032C" w:rsidP="00472614">
      <w:pPr>
        <w:widowControl w:val="0"/>
        <w:spacing w:after="120" w:line="240" w:lineRule="auto"/>
        <w:jc w:val="both"/>
        <w:rPr>
          <w:color w:val="000000" w:themeColor="text1"/>
        </w:rPr>
      </w:pPr>
      <w:r>
        <w:rPr>
          <w:color w:val="000000" w:themeColor="text1"/>
        </w:rPr>
        <w:t>13</w:t>
      </w:r>
      <w:r w:rsidR="00442992" w:rsidRPr="00AD1326">
        <w:rPr>
          <w:color w:val="000000" w:themeColor="text1"/>
        </w:rPr>
        <w:t xml:space="preserve"> jours </w:t>
      </w:r>
      <w:r w:rsidR="00057EBC">
        <w:rPr>
          <w:color w:val="000000" w:themeColor="text1"/>
        </w:rPr>
        <w:t>maximum</w:t>
      </w:r>
      <w:r w:rsidR="00057EBC" w:rsidRPr="00AD1326">
        <w:rPr>
          <w:color w:val="000000" w:themeColor="text1"/>
        </w:rPr>
        <w:t xml:space="preserve"> :</w:t>
      </w:r>
      <w:r w:rsidR="00442992" w:rsidRPr="00AD1326">
        <w:rPr>
          <w:color w:val="000000" w:themeColor="text1"/>
        </w:rPr>
        <w:t xml:space="preserve"> formation de </w:t>
      </w:r>
      <w:r w:rsidR="00493798">
        <w:rPr>
          <w:color w:val="000000" w:themeColor="text1"/>
        </w:rPr>
        <w:t>3</w:t>
      </w:r>
      <w:r w:rsidR="002D0CCA">
        <w:rPr>
          <w:color w:val="000000" w:themeColor="text1"/>
        </w:rPr>
        <w:t xml:space="preserve"> </w:t>
      </w:r>
      <w:r>
        <w:rPr>
          <w:color w:val="000000" w:themeColor="text1"/>
        </w:rPr>
        <w:t xml:space="preserve">ou 4 </w:t>
      </w:r>
      <w:r w:rsidR="00442992" w:rsidRPr="00AD1326">
        <w:rPr>
          <w:color w:val="000000" w:themeColor="text1"/>
        </w:rPr>
        <w:t>jours à Tunis</w:t>
      </w:r>
      <w:proofErr w:type="gramStart"/>
      <w:r w:rsidR="00442992" w:rsidRPr="00AD1326">
        <w:rPr>
          <w:color w:val="000000" w:themeColor="text1"/>
        </w:rPr>
        <w:t>,</w:t>
      </w:r>
      <w:r>
        <w:rPr>
          <w:color w:val="000000" w:themeColor="text1"/>
        </w:rPr>
        <w:t>5</w:t>
      </w:r>
      <w:proofErr w:type="gramEnd"/>
      <w:r>
        <w:rPr>
          <w:color w:val="000000" w:themeColor="text1"/>
        </w:rPr>
        <w:t>-7</w:t>
      </w:r>
      <w:r w:rsidR="00442992" w:rsidRPr="00AD1326">
        <w:rPr>
          <w:color w:val="000000" w:themeColor="text1"/>
        </w:rPr>
        <w:t xml:space="preserve"> jours de préparation et </w:t>
      </w:r>
      <w:r w:rsidR="00493798">
        <w:rPr>
          <w:color w:val="000000" w:themeColor="text1"/>
        </w:rPr>
        <w:t>2</w:t>
      </w:r>
      <w:r w:rsidR="00442992" w:rsidRPr="00AD1326">
        <w:rPr>
          <w:color w:val="000000" w:themeColor="text1"/>
        </w:rPr>
        <w:t xml:space="preserve"> jour</w:t>
      </w:r>
      <w:r w:rsidR="003A206F">
        <w:rPr>
          <w:color w:val="000000" w:themeColor="text1"/>
        </w:rPr>
        <w:t>s</w:t>
      </w:r>
      <w:r w:rsidR="00442992" w:rsidRPr="00AD1326">
        <w:rPr>
          <w:color w:val="000000" w:themeColor="text1"/>
        </w:rPr>
        <w:t xml:space="preserve"> de </w:t>
      </w:r>
      <w:proofErr w:type="spellStart"/>
      <w:r w:rsidR="00442992" w:rsidRPr="00AD1326">
        <w:rPr>
          <w:color w:val="000000" w:themeColor="text1"/>
        </w:rPr>
        <w:t>reporting</w:t>
      </w:r>
      <w:proofErr w:type="spellEnd"/>
    </w:p>
    <w:p w:rsidR="00376763" w:rsidRDefault="00376763">
      <w:pPr>
        <w:widowControl w:val="0"/>
        <w:spacing w:after="120" w:line="240" w:lineRule="auto"/>
        <w:jc w:val="both"/>
      </w:pPr>
    </w:p>
    <w:p w:rsidR="00376763" w:rsidRDefault="00442992" w:rsidP="0096491A">
      <w:pPr>
        <w:pStyle w:val="Titre1"/>
        <w:spacing w:before="0" w:after="120" w:line="240" w:lineRule="auto"/>
      </w:pPr>
      <w:r>
        <w:lastRenderedPageBreak/>
        <w:t>Calendrier prévisionnel</w:t>
      </w:r>
      <w:r>
        <w:tab/>
      </w:r>
      <w:bookmarkStart w:id="0" w:name="_30j0zll" w:colFirst="0" w:colLast="0"/>
      <w:bookmarkEnd w:id="0"/>
    </w:p>
    <w:p w:rsidR="0096491A" w:rsidRPr="0096491A" w:rsidRDefault="0003032C" w:rsidP="0096491A">
      <w:r>
        <w:t>Juin-Aout</w:t>
      </w:r>
      <w:r w:rsidR="00057EBC">
        <w:t xml:space="preserve"> 2020</w:t>
      </w:r>
    </w:p>
    <w:p w:rsidR="00376763" w:rsidRDefault="00376763">
      <w:pPr>
        <w:widowControl w:val="0"/>
        <w:spacing w:after="120" w:line="240" w:lineRule="auto"/>
        <w:jc w:val="both"/>
      </w:pPr>
    </w:p>
    <w:p w:rsidR="00376763" w:rsidRDefault="00442992">
      <w:pPr>
        <w:pStyle w:val="Titre1"/>
        <w:spacing w:after="120" w:line="240" w:lineRule="auto"/>
      </w:pPr>
      <w:r>
        <w:t>Lieu d’exécution</w:t>
      </w:r>
      <w:r>
        <w:tab/>
      </w:r>
    </w:p>
    <w:p w:rsidR="00376763" w:rsidRDefault="00442992">
      <w:pPr>
        <w:widowControl w:val="0"/>
        <w:spacing w:after="120" w:line="240" w:lineRule="auto"/>
        <w:jc w:val="both"/>
      </w:pPr>
      <w:r>
        <w:t>L’activité sera réalisée en Tunisie (Tunis principalement pour la formation) et dans le pays de résidence de l’expert.</w:t>
      </w:r>
    </w:p>
    <w:p w:rsidR="00376763" w:rsidRDefault="00376763">
      <w:pPr>
        <w:widowControl w:val="0"/>
        <w:spacing w:after="120" w:line="240" w:lineRule="auto"/>
        <w:jc w:val="both"/>
      </w:pPr>
    </w:p>
    <w:p w:rsidR="002D0CCA" w:rsidRPr="002D0CCA" w:rsidRDefault="002D0CCA" w:rsidP="002D0CCA">
      <w:pPr>
        <w:keepNext/>
        <w:keepLines/>
        <w:spacing w:before="240" w:after="120" w:line="240" w:lineRule="auto"/>
        <w:outlineLvl w:val="0"/>
        <w:rPr>
          <w:color w:val="2E75B5"/>
          <w:sz w:val="32"/>
          <w:szCs w:val="32"/>
        </w:rPr>
      </w:pPr>
      <w:bookmarkStart w:id="1" w:name="_Toc526153050"/>
      <w:r w:rsidRPr="002D0CCA">
        <w:rPr>
          <w:color w:val="2E75B5"/>
          <w:sz w:val="32"/>
          <w:szCs w:val="32"/>
        </w:rPr>
        <w:t>Soumission des propositions</w:t>
      </w:r>
      <w:bookmarkEnd w:id="1"/>
    </w:p>
    <w:p w:rsidR="002D0CCA" w:rsidRPr="00FF4329" w:rsidRDefault="002D0CCA" w:rsidP="002D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FF4329">
        <w:rPr>
          <w:rFonts w:cs="Times New Roman"/>
        </w:rPr>
        <w:t>Les consultants intéressés doivent inclure les documents suivants dans leurs propositions :</w:t>
      </w:r>
    </w:p>
    <w:p w:rsidR="002D0CCA" w:rsidRPr="00FF4329" w:rsidRDefault="002D0CCA" w:rsidP="002D0CCA">
      <w:pPr>
        <w:widowControl w:val="0"/>
        <w:numPr>
          <w:ilvl w:val="0"/>
          <w:numId w:val="13"/>
        </w:numPr>
        <w:spacing w:before="120" w:after="120" w:line="240" w:lineRule="auto"/>
        <w:jc w:val="both"/>
        <w:rPr>
          <w:rFonts w:cs="Times New Roman"/>
        </w:rPr>
      </w:pPr>
      <w:r w:rsidRPr="00FF4329">
        <w:rPr>
          <w:rFonts w:cs="Times New Roman"/>
        </w:rPr>
        <w:t>Une brève proposition technique détaillant leur compréhension du contexte et des termes de référence, la méthode de formation proposée</w:t>
      </w:r>
      <w:r>
        <w:rPr>
          <w:rFonts w:cs="Times New Roman"/>
        </w:rPr>
        <w:t xml:space="preserve"> et contenu (5/8 pages)</w:t>
      </w:r>
      <w:r w:rsidRPr="00FF4329">
        <w:rPr>
          <w:rFonts w:cs="Times New Roman"/>
        </w:rPr>
        <w:t> ;</w:t>
      </w:r>
    </w:p>
    <w:p w:rsidR="002D0CCA" w:rsidRPr="00FF4329" w:rsidRDefault="002D0CCA" w:rsidP="002D0CCA">
      <w:pPr>
        <w:widowControl w:val="0"/>
        <w:numPr>
          <w:ilvl w:val="0"/>
          <w:numId w:val="13"/>
        </w:numPr>
        <w:spacing w:before="120" w:after="120" w:line="240" w:lineRule="auto"/>
        <w:jc w:val="both"/>
        <w:rPr>
          <w:rFonts w:cs="Times New Roman"/>
        </w:rPr>
      </w:pPr>
      <w:r w:rsidRPr="00FF4329">
        <w:rPr>
          <w:rFonts w:cs="Times New Roman"/>
        </w:rPr>
        <w:t>Les CV de l’expert proposé contenant des informations détaillées sur les qualifications, l'expérience et les références appropriées ;</w:t>
      </w:r>
    </w:p>
    <w:p w:rsidR="002D0CCA" w:rsidRPr="001E2354" w:rsidRDefault="002D0CCA" w:rsidP="002D0CCA">
      <w:pPr>
        <w:pStyle w:val="Paragraphedeliste"/>
        <w:numPr>
          <w:ilvl w:val="0"/>
          <w:numId w:val="13"/>
        </w:numPr>
        <w:spacing w:line="360" w:lineRule="auto"/>
        <w:jc w:val="both"/>
      </w:pPr>
      <w:r w:rsidRPr="001E2354">
        <w:t>Les éléments de preuve de leurs capacités à exécuter une telle tâche (références) ;</w:t>
      </w:r>
    </w:p>
    <w:p w:rsidR="002D0CCA" w:rsidRDefault="002D0CCA" w:rsidP="002D0CCA">
      <w:pPr>
        <w:widowControl w:val="0"/>
        <w:numPr>
          <w:ilvl w:val="0"/>
          <w:numId w:val="13"/>
        </w:numPr>
        <w:spacing w:before="120" w:after="120" w:line="240" w:lineRule="auto"/>
        <w:jc w:val="both"/>
        <w:rPr>
          <w:rFonts w:cs="Times New Roman"/>
        </w:rPr>
      </w:pPr>
      <w:r w:rsidRPr="00FF4329">
        <w:rPr>
          <w:rFonts w:cs="Times New Roman"/>
        </w:rPr>
        <w:t xml:space="preserve">Une proposition financière détaillée en jours-homme au total. </w:t>
      </w:r>
    </w:p>
    <w:p w:rsidR="002D0CCA" w:rsidRDefault="002D0CCA" w:rsidP="002D0CCA">
      <w:pPr>
        <w:widowControl w:val="0"/>
        <w:spacing w:before="120" w:after="120" w:line="240" w:lineRule="auto"/>
        <w:ind w:left="360"/>
        <w:jc w:val="both"/>
        <w:rPr>
          <w:rFonts w:cs="Times New Roman"/>
        </w:rPr>
      </w:pPr>
    </w:p>
    <w:p w:rsidR="002D0CCA" w:rsidRPr="00AB2109" w:rsidRDefault="002D0CCA" w:rsidP="002D0CCA">
      <w:pPr>
        <w:widowControl w:val="0"/>
        <w:spacing w:before="120" w:after="120" w:line="240" w:lineRule="auto"/>
        <w:jc w:val="both"/>
        <w:rPr>
          <w:rFonts w:cs="Times New Roman"/>
        </w:rPr>
      </w:pPr>
      <w:r w:rsidRPr="001E2354">
        <w:t>L’offre financière devra être établie en Hors Taxes (HT) et en Toutes Taxes Comprises (TTC).</w:t>
      </w:r>
    </w:p>
    <w:p w:rsidR="002D0CCA" w:rsidRPr="00AB2109" w:rsidRDefault="002D0CCA" w:rsidP="002D0CCA">
      <w:pPr>
        <w:spacing w:line="240" w:lineRule="auto"/>
        <w:jc w:val="both"/>
        <w:rPr>
          <w:b/>
          <w:i/>
        </w:rPr>
      </w:pPr>
      <w:r w:rsidRPr="00AB2109">
        <w:rPr>
          <w:b/>
          <w:i/>
        </w:rPr>
        <w:t>Les candidats devront indiquer l'entreprise/entrepreneur qui pourrait être amenée à conclure le marché avec Expertise France (Société avec n° d’enregistrement légal au registre des sociétés et ayant donc le droit d’émettre des factures)</w:t>
      </w:r>
    </w:p>
    <w:p w:rsidR="002D0CCA" w:rsidRDefault="002D0CCA" w:rsidP="002D0CCA">
      <w:pPr>
        <w:widowControl w:val="0"/>
        <w:spacing w:before="120" w:after="120" w:line="240" w:lineRule="auto"/>
        <w:jc w:val="both"/>
        <w:rPr>
          <w:rFonts w:cs="Times New Roman"/>
        </w:rPr>
      </w:pPr>
    </w:p>
    <w:p w:rsidR="002D0CCA" w:rsidRPr="002D0CCA" w:rsidRDefault="002D0CCA" w:rsidP="002D0CCA">
      <w:pPr>
        <w:pStyle w:val="NormalWeb"/>
        <w:autoSpaceDE w:val="0"/>
        <w:spacing w:before="0" w:beforeAutospacing="0" w:after="0" w:afterAutospacing="0"/>
        <w:ind w:right="7"/>
        <w:jc w:val="both"/>
        <w:rPr>
          <w:rFonts w:asciiTheme="majorHAnsi" w:eastAsia="Times" w:hAnsiTheme="majorHAnsi" w:cstheme="majorHAnsi"/>
          <w:b/>
          <w:sz w:val="22"/>
          <w:szCs w:val="22"/>
        </w:rPr>
      </w:pPr>
      <w:r w:rsidRPr="002D0CCA">
        <w:rPr>
          <w:rFonts w:asciiTheme="majorHAnsi" w:eastAsiaTheme="minorHAnsi" w:hAnsiTheme="majorHAnsi" w:cstheme="majorHAnsi"/>
          <w:b/>
          <w:sz w:val="22"/>
          <w:szCs w:val="22"/>
          <w:lang w:eastAsia="en-US"/>
        </w:rPr>
        <w:t>Les dossiers de candidatures sont reçus sur les adresses ci-dessous :</w:t>
      </w:r>
    </w:p>
    <w:p w:rsidR="002D0CCA" w:rsidRPr="002D0CCA" w:rsidRDefault="002D0CCA" w:rsidP="002D0CCA">
      <w:pPr>
        <w:pStyle w:val="NormalWeb"/>
        <w:numPr>
          <w:ilvl w:val="0"/>
          <w:numId w:val="14"/>
        </w:numPr>
        <w:autoSpaceDE w:val="0"/>
        <w:spacing w:before="0" w:beforeAutospacing="0" w:after="0" w:afterAutospacing="0"/>
        <w:ind w:right="7"/>
        <w:jc w:val="both"/>
        <w:rPr>
          <w:rStyle w:val="Lienhypertexte"/>
          <w:rFonts w:asciiTheme="majorHAnsi" w:hAnsiTheme="majorHAnsi" w:cstheme="majorHAnsi"/>
          <w:sz w:val="22"/>
          <w:szCs w:val="22"/>
        </w:rPr>
      </w:pPr>
      <w:r w:rsidRPr="002D0CCA">
        <w:rPr>
          <w:rFonts w:asciiTheme="majorHAnsi" w:eastAsiaTheme="minorHAnsi" w:hAnsiTheme="majorHAnsi" w:cstheme="majorHAnsi"/>
          <w:sz w:val="22"/>
          <w:szCs w:val="22"/>
          <w:lang w:eastAsia="en-US"/>
        </w:rPr>
        <w:t xml:space="preserve">Emilie </w:t>
      </w:r>
      <w:proofErr w:type="spellStart"/>
      <w:r w:rsidRPr="002D0CCA">
        <w:rPr>
          <w:rFonts w:asciiTheme="majorHAnsi" w:eastAsiaTheme="minorHAnsi" w:hAnsiTheme="majorHAnsi" w:cstheme="majorHAnsi"/>
          <w:sz w:val="22"/>
          <w:szCs w:val="22"/>
          <w:lang w:eastAsia="en-US"/>
        </w:rPr>
        <w:t>Becle</w:t>
      </w:r>
      <w:proofErr w:type="spellEnd"/>
      <w:r w:rsidRPr="002D0CCA">
        <w:rPr>
          <w:rFonts w:asciiTheme="majorHAnsi" w:eastAsiaTheme="minorHAnsi" w:hAnsiTheme="majorHAnsi" w:cstheme="majorHAnsi"/>
          <w:sz w:val="22"/>
          <w:szCs w:val="22"/>
          <w:lang w:eastAsia="en-US"/>
        </w:rPr>
        <w:t>, Cheffe du Projet PAGOF :</w:t>
      </w:r>
      <w:r w:rsidRPr="002D0CCA">
        <w:rPr>
          <w:rFonts w:asciiTheme="majorHAnsi" w:eastAsia="Times" w:hAnsiTheme="majorHAnsi" w:cstheme="majorHAnsi"/>
          <w:sz w:val="22"/>
          <w:szCs w:val="22"/>
        </w:rPr>
        <w:t xml:space="preserve"> </w:t>
      </w:r>
      <w:hyperlink r:id="rId8" w:history="1">
        <w:r w:rsidRPr="002D0CCA">
          <w:rPr>
            <w:rStyle w:val="Lienhypertexte"/>
            <w:rFonts w:asciiTheme="majorHAnsi" w:hAnsiTheme="majorHAnsi" w:cstheme="majorHAnsi"/>
            <w:sz w:val="22"/>
            <w:szCs w:val="22"/>
          </w:rPr>
          <w:t>emilie.becle@expertisefrance.fr</w:t>
        </w:r>
      </w:hyperlink>
    </w:p>
    <w:p w:rsidR="002D0CCA" w:rsidRPr="002D0CCA" w:rsidRDefault="002D0CCA" w:rsidP="002D0CCA">
      <w:pPr>
        <w:pStyle w:val="NormalWeb"/>
        <w:numPr>
          <w:ilvl w:val="0"/>
          <w:numId w:val="14"/>
        </w:numPr>
        <w:autoSpaceDE w:val="0"/>
        <w:spacing w:before="0" w:beforeAutospacing="0" w:after="0" w:afterAutospacing="0"/>
        <w:ind w:right="7"/>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Asma Sabri</w:t>
      </w:r>
      <w:r w:rsidRPr="002D0CCA">
        <w:rPr>
          <w:rFonts w:asciiTheme="majorHAnsi" w:eastAsiaTheme="minorHAnsi" w:hAnsiTheme="majorHAnsi" w:cstheme="majorHAnsi"/>
          <w:sz w:val="22"/>
          <w:szCs w:val="22"/>
          <w:lang w:eastAsia="en-US"/>
        </w:rPr>
        <w:t>, Coordonnatrice locale du Projet PAGOF :</w:t>
      </w:r>
      <w:r w:rsidRPr="002D0CCA">
        <w:rPr>
          <w:rFonts w:asciiTheme="majorHAnsi" w:hAnsiTheme="majorHAnsi" w:cstheme="majorHAnsi"/>
        </w:rPr>
        <w:t xml:space="preserve"> </w:t>
      </w:r>
      <w:hyperlink r:id="rId9" w:history="1">
        <w:r w:rsidRPr="002D0CCA">
          <w:rPr>
            <w:rStyle w:val="Lienhypertexte"/>
            <w:rFonts w:asciiTheme="majorHAnsi" w:hAnsiTheme="majorHAnsi" w:cstheme="majorHAnsi"/>
            <w:sz w:val="22"/>
          </w:rPr>
          <w:t>pagof.tn@gmail.com</w:t>
        </w:r>
      </w:hyperlink>
    </w:p>
    <w:p w:rsidR="002D0CCA" w:rsidRPr="002D0CCA" w:rsidRDefault="002D0CCA" w:rsidP="002D0CCA">
      <w:pPr>
        <w:pStyle w:val="NormalWeb"/>
        <w:autoSpaceDE w:val="0"/>
        <w:spacing w:before="0" w:beforeAutospacing="0" w:after="0" w:afterAutospacing="0"/>
        <w:ind w:left="720" w:right="7"/>
        <w:jc w:val="both"/>
        <w:rPr>
          <w:rFonts w:asciiTheme="majorHAnsi" w:eastAsiaTheme="minorHAnsi" w:hAnsiTheme="majorHAnsi" w:cstheme="majorHAnsi"/>
          <w:sz w:val="22"/>
          <w:szCs w:val="22"/>
          <w:lang w:eastAsia="en-US"/>
        </w:rPr>
      </w:pPr>
    </w:p>
    <w:p w:rsidR="002D0CCA" w:rsidRPr="007676CF" w:rsidRDefault="007676CF">
      <w:pPr>
        <w:widowControl w:val="0"/>
        <w:spacing w:after="120" w:line="240" w:lineRule="auto"/>
        <w:jc w:val="both"/>
        <w:rPr>
          <w:rFonts w:asciiTheme="majorHAnsi" w:eastAsiaTheme="minorHAnsi" w:hAnsiTheme="majorHAnsi" w:cstheme="majorHAnsi"/>
          <w:b/>
          <w:lang w:eastAsia="en-US"/>
        </w:rPr>
      </w:pPr>
      <w:r w:rsidRPr="007676CF">
        <w:rPr>
          <w:rFonts w:asciiTheme="majorHAnsi" w:eastAsiaTheme="minorHAnsi" w:hAnsiTheme="majorHAnsi" w:cstheme="majorHAnsi"/>
          <w:b/>
          <w:lang w:eastAsia="en-US"/>
        </w:rPr>
        <w:t>DATE LIMITE DE SOUMISSION DES CANDIDATURE</w:t>
      </w:r>
      <w:r>
        <w:rPr>
          <w:rFonts w:asciiTheme="majorHAnsi" w:eastAsiaTheme="minorHAnsi" w:hAnsiTheme="majorHAnsi" w:cstheme="majorHAnsi"/>
          <w:b/>
          <w:lang w:eastAsia="en-US"/>
        </w:rPr>
        <w:t>S</w:t>
      </w:r>
      <w:bookmarkStart w:id="2" w:name="_GoBack"/>
      <w:bookmarkEnd w:id="2"/>
      <w:r w:rsidRPr="007676CF">
        <w:rPr>
          <w:rFonts w:asciiTheme="majorHAnsi" w:eastAsiaTheme="minorHAnsi" w:hAnsiTheme="majorHAnsi" w:cstheme="majorHAnsi"/>
          <w:b/>
          <w:lang w:eastAsia="en-US"/>
        </w:rPr>
        <w:t> : 19 juin</w:t>
      </w:r>
    </w:p>
    <w:p w:rsidR="00376763" w:rsidRDefault="00442992">
      <w:pPr>
        <w:pStyle w:val="Titre1"/>
        <w:spacing w:after="120" w:line="240" w:lineRule="auto"/>
      </w:pPr>
      <w:r>
        <w:t>Profil requis de l’expert</w:t>
      </w:r>
    </w:p>
    <w:p w:rsidR="0003032C" w:rsidRPr="008A7010" w:rsidRDefault="0003032C" w:rsidP="0003032C">
      <w:pPr>
        <w:widowControl w:val="0"/>
        <w:spacing w:before="240" w:after="120" w:line="240" w:lineRule="auto"/>
        <w:jc w:val="both"/>
      </w:pPr>
      <w:bookmarkStart w:id="3" w:name="_1fob9te" w:colFirst="0" w:colLast="0"/>
      <w:bookmarkStart w:id="4" w:name="_Hlk506916910"/>
      <w:bookmarkEnd w:id="3"/>
      <w:r w:rsidRPr="008A7010">
        <w:t xml:space="preserve">Qualifications </w:t>
      </w:r>
      <w:r>
        <w:t>et compétences</w:t>
      </w:r>
    </w:p>
    <w:p w:rsidR="0003032C" w:rsidRDefault="0003032C" w:rsidP="0003032C">
      <w:pPr>
        <w:pStyle w:val="Paragraphedeliste"/>
        <w:widowControl w:val="0"/>
        <w:numPr>
          <w:ilvl w:val="0"/>
          <w:numId w:val="12"/>
        </w:numPr>
        <w:spacing w:before="240" w:after="120" w:line="240" w:lineRule="auto"/>
        <w:ind w:left="426"/>
        <w:jc w:val="both"/>
      </w:pPr>
      <w:r>
        <w:t>Connaissance des principes de gouvernement ouvert, transparence des gouvernements</w:t>
      </w:r>
      <w:r w:rsidR="00346FCB">
        <w:t xml:space="preserve"> dans le secteur public</w:t>
      </w:r>
      <w:r>
        <w:t>, lutte contre la corruption</w:t>
      </w:r>
      <w:r w:rsidR="00346FCB">
        <w:t>, Partenariat pour un Gouvernement ouvert,</w:t>
      </w:r>
      <w:r>
        <w:t xml:space="preserve"> administration électronique au sein de l’administration centrale et locale ; </w:t>
      </w:r>
    </w:p>
    <w:p w:rsidR="0003032C" w:rsidRDefault="0003032C" w:rsidP="0003032C">
      <w:pPr>
        <w:pStyle w:val="Paragraphedeliste"/>
        <w:widowControl w:val="0"/>
        <w:numPr>
          <w:ilvl w:val="0"/>
          <w:numId w:val="12"/>
        </w:numPr>
        <w:spacing w:before="240" w:after="120" w:line="240" w:lineRule="auto"/>
        <w:ind w:left="426"/>
        <w:jc w:val="both"/>
      </w:pPr>
      <w:r>
        <w:t>Connaissance de l’administration publique décentralisée (enjeux, acteurs, etc.) ;</w:t>
      </w:r>
    </w:p>
    <w:p w:rsidR="0003032C" w:rsidRDefault="0003032C" w:rsidP="0003032C">
      <w:pPr>
        <w:pStyle w:val="Paragraphedeliste"/>
        <w:widowControl w:val="0"/>
        <w:numPr>
          <w:ilvl w:val="0"/>
          <w:numId w:val="12"/>
        </w:numPr>
        <w:spacing w:before="240" w:after="120" w:line="240" w:lineRule="auto"/>
        <w:ind w:left="426"/>
        <w:jc w:val="both"/>
      </w:pPr>
      <w:r>
        <w:t>Connaissance du dialogue avec les Organisations de la Société Civile ;</w:t>
      </w:r>
    </w:p>
    <w:p w:rsidR="00F76A98" w:rsidRPr="008A7010" w:rsidRDefault="00F76A98" w:rsidP="0003032C">
      <w:pPr>
        <w:pStyle w:val="Paragraphedeliste"/>
        <w:widowControl w:val="0"/>
        <w:numPr>
          <w:ilvl w:val="0"/>
          <w:numId w:val="12"/>
        </w:numPr>
        <w:spacing w:before="240" w:after="120" w:line="240" w:lineRule="auto"/>
        <w:ind w:left="426"/>
        <w:jc w:val="both"/>
      </w:pPr>
      <w:r>
        <w:t>Compétences en matière de gestion de projet, planification, définition et suivi de projet</w:t>
      </w:r>
    </w:p>
    <w:p w:rsidR="0003032C" w:rsidRDefault="0003032C" w:rsidP="0003032C">
      <w:pPr>
        <w:pStyle w:val="Paragraphedeliste"/>
        <w:widowControl w:val="0"/>
        <w:numPr>
          <w:ilvl w:val="0"/>
          <w:numId w:val="12"/>
        </w:numPr>
        <w:spacing w:before="240" w:after="120" w:line="240" w:lineRule="auto"/>
        <w:ind w:left="426"/>
        <w:jc w:val="both"/>
      </w:pPr>
      <w:r>
        <w:t>Excellentes compétences rédactionnelles.</w:t>
      </w:r>
    </w:p>
    <w:p w:rsidR="00F76A98" w:rsidRDefault="0003032C" w:rsidP="00F76A98">
      <w:pPr>
        <w:widowControl w:val="0"/>
        <w:spacing w:before="240" w:after="120" w:line="240" w:lineRule="auto"/>
        <w:jc w:val="both"/>
      </w:pPr>
      <w:r>
        <w:t>Expérience professionnelle générale et spécifique</w:t>
      </w:r>
    </w:p>
    <w:p w:rsidR="0003032C" w:rsidRDefault="0003032C" w:rsidP="00F76A98">
      <w:pPr>
        <w:pStyle w:val="Paragraphedeliste"/>
        <w:widowControl w:val="0"/>
        <w:numPr>
          <w:ilvl w:val="0"/>
          <w:numId w:val="12"/>
        </w:numPr>
        <w:spacing w:before="120" w:after="120" w:line="240" w:lineRule="auto"/>
        <w:ind w:left="425" w:hanging="357"/>
        <w:contextualSpacing w:val="0"/>
        <w:jc w:val="both"/>
      </w:pPr>
      <w:r>
        <w:t>Expérience dans la mise en œuvre de projet/activités</w:t>
      </w:r>
      <w:r w:rsidR="00F76A98">
        <w:t xml:space="preserve"> basées</w:t>
      </w:r>
      <w:r>
        <w:t xml:space="preserve"> sur les principes de gouvernement ouvert, transparence des gouvernements, e-</w:t>
      </w:r>
      <w:proofErr w:type="spellStart"/>
      <w:r>
        <w:t>gov</w:t>
      </w:r>
      <w:proofErr w:type="spellEnd"/>
      <w:r>
        <w:t xml:space="preserve">, administration électronique au sein de </w:t>
      </w:r>
      <w:r>
        <w:lastRenderedPageBreak/>
        <w:t>l’administration ;</w:t>
      </w:r>
    </w:p>
    <w:p w:rsidR="0003032C" w:rsidRPr="008A7010" w:rsidRDefault="0003032C" w:rsidP="0003032C">
      <w:pPr>
        <w:pStyle w:val="Paragraphedeliste"/>
        <w:widowControl w:val="0"/>
        <w:numPr>
          <w:ilvl w:val="0"/>
          <w:numId w:val="12"/>
        </w:numPr>
        <w:spacing w:before="120" w:after="120" w:line="240" w:lineRule="auto"/>
        <w:ind w:left="425" w:hanging="357"/>
        <w:contextualSpacing w:val="0"/>
        <w:jc w:val="both"/>
      </w:pPr>
      <w:r>
        <w:t>Excellente connaissance du Partenariat pour un Gouvernement Ouvert et des méthodologies et processus du PGO, notamment des processus d’évaluation ;</w:t>
      </w:r>
    </w:p>
    <w:p w:rsidR="0003032C" w:rsidRDefault="0003032C" w:rsidP="0003032C">
      <w:pPr>
        <w:pStyle w:val="Paragraphedeliste"/>
        <w:widowControl w:val="0"/>
        <w:numPr>
          <w:ilvl w:val="0"/>
          <w:numId w:val="12"/>
        </w:numPr>
        <w:spacing w:before="120" w:after="120" w:line="240" w:lineRule="auto"/>
        <w:ind w:left="425" w:hanging="357"/>
        <w:contextualSpacing w:val="0"/>
        <w:jc w:val="both"/>
      </w:pPr>
      <w:r>
        <w:t>Expérience nécessaire dans l’élaboration de rapport d’auto-évaluation du PAN (du côté administration ou du côté société civile) et/ou dans l’élaboration du rapport indépendant et expérience internationale dans ce domaine serait un avantage ;</w:t>
      </w:r>
    </w:p>
    <w:p w:rsidR="0003032C" w:rsidRPr="008A7010" w:rsidRDefault="0003032C" w:rsidP="0003032C">
      <w:pPr>
        <w:pStyle w:val="Paragraphedeliste"/>
        <w:widowControl w:val="0"/>
        <w:numPr>
          <w:ilvl w:val="0"/>
          <w:numId w:val="12"/>
        </w:numPr>
        <w:spacing w:before="120" w:after="120" w:line="240" w:lineRule="auto"/>
        <w:ind w:left="425" w:hanging="357"/>
        <w:contextualSpacing w:val="0"/>
        <w:jc w:val="both"/>
      </w:pPr>
      <w:r>
        <w:t>Capacité à travailler en milieu interculturel, capacité de mise en perspective des relations autorités/OSC et de faciliter leurs échanges ;</w:t>
      </w:r>
    </w:p>
    <w:p w:rsidR="0003032C" w:rsidRDefault="0003032C" w:rsidP="0003032C">
      <w:pPr>
        <w:pStyle w:val="Paragraphedeliste"/>
        <w:widowControl w:val="0"/>
        <w:numPr>
          <w:ilvl w:val="0"/>
          <w:numId w:val="12"/>
        </w:numPr>
        <w:spacing w:before="120" w:after="120" w:line="240" w:lineRule="auto"/>
        <w:ind w:left="425" w:hanging="357"/>
        <w:contextualSpacing w:val="0"/>
        <w:jc w:val="both"/>
      </w:pPr>
      <w:r w:rsidRPr="00814B0C">
        <w:t>Compétence en pilotage et coordination de projet/mission (organisation, modération, leadership de groupe de travail et atelier)</w:t>
      </w:r>
      <w:bookmarkEnd w:id="4"/>
    </w:p>
    <w:p w:rsidR="00376763" w:rsidRDefault="00376763">
      <w:pPr>
        <w:widowControl w:val="0"/>
        <w:pBdr>
          <w:top w:val="nil"/>
          <w:left w:val="nil"/>
          <w:bottom w:val="nil"/>
          <w:right w:val="nil"/>
          <w:between w:val="nil"/>
        </w:pBdr>
        <w:spacing w:before="120" w:after="120" w:line="240" w:lineRule="auto"/>
        <w:ind w:left="425" w:hanging="720"/>
        <w:jc w:val="both"/>
        <w:rPr>
          <w:color w:val="000000"/>
        </w:rPr>
      </w:pPr>
    </w:p>
    <w:p w:rsidR="00376763" w:rsidRDefault="00442992">
      <w:pPr>
        <w:pStyle w:val="Titre1"/>
        <w:spacing w:after="120" w:line="240" w:lineRule="auto"/>
      </w:pPr>
      <w:r>
        <w:t xml:space="preserve">Langue(s) de travail </w:t>
      </w:r>
    </w:p>
    <w:p w:rsidR="00376763" w:rsidRDefault="00442992">
      <w:pPr>
        <w:widowControl w:val="0"/>
        <w:spacing w:after="120" w:line="240" w:lineRule="auto"/>
        <w:jc w:val="both"/>
      </w:pPr>
      <w:r>
        <w:t>Français</w:t>
      </w:r>
    </w:p>
    <w:p w:rsidR="00376763" w:rsidRDefault="00376763">
      <w:pPr>
        <w:widowControl w:val="0"/>
        <w:spacing w:after="120" w:line="240" w:lineRule="auto"/>
        <w:jc w:val="both"/>
        <w:rPr>
          <w:rFonts w:ascii="Times New Roman" w:eastAsia="Times New Roman" w:hAnsi="Times New Roman" w:cs="Times New Roman"/>
          <w:b/>
          <w:color w:val="404040"/>
          <w:sz w:val="24"/>
          <w:szCs w:val="24"/>
        </w:rPr>
      </w:pPr>
    </w:p>
    <w:sectPr w:rsidR="00376763" w:rsidSect="00CC065A">
      <w:footerReference w:type="default" r:id="rId10"/>
      <w:headerReference w:type="first" r:id="rId11"/>
      <w:footerReference w:type="first" r:id="rId12"/>
      <w:pgSz w:w="11906" w:h="16838"/>
      <w:pgMar w:top="1411" w:right="1109" w:bottom="1138" w:left="1411"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4C" w:rsidRDefault="006A704C">
      <w:pPr>
        <w:spacing w:after="0" w:line="240" w:lineRule="auto"/>
      </w:pPr>
      <w:r>
        <w:separator/>
      </w:r>
    </w:p>
  </w:endnote>
  <w:endnote w:type="continuationSeparator" w:id="0">
    <w:p w:rsidR="006A704C" w:rsidRDefault="006A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37676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8048B7">
    <w:pPr>
      <w:pBdr>
        <w:top w:val="nil"/>
        <w:left w:val="nil"/>
        <w:bottom w:val="nil"/>
        <w:right w:val="nil"/>
        <w:between w:val="nil"/>
      </w:pBdr>
      <w:tabs>
        <w:tab w:val="center" w:pos="4153"/>
        <w:tab w:val="right" w:pos="8306"/>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allowOverlap="1">
              <wp:simplePos x="0" y="0"/>
              <wp:positionH relativeFrom="margin">
                <wp:posOffset>-266700</wp:posOffset>
              </wp:positionH>
              <wp:positionV relativeFrom="paragraph">
                <wp:posOffset>165100</wp:posOffset>
              </wp:positionV>
              <wp:extent cx="828040" cy="2667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63" w:rsidRDefault="00442992">
                          <w:pPr>
                            <w:spacing w:after="0" w:line="215" w:lineRule="auto"/>
                            <w:jc w:val="right"/>
                            <w:textDirection w:val="btLr"/>
                          </w:pPr>
                          <w:r>
                            <w:rPr>
                              <w:i/>
                              <w:color w:val="595959"/>
                              <w:sz w:val="16"/>
                            </w:rPr>
                            <w:t xml:space="preserve">Financé par </w:t>
                          </w:r>
                        </w:p>
                      </w:txbxContent>
                    </wps:txbx>
                    <wps:bodyPr rot="0" vert="horz" wrap="square" lIns="91425" tIns="45698" rIns="91425" bIns="45698"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pt;margin-top:13pt;width:65.2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" filled="f" stroked="f">
              <v:textbox inset="2.53958mm,1.2694mm,2.53958mm,1.2694mm">
                <w:txbxContent>
                  <w:p w:rsidR="00376763" w:rsidRDefault="00442992">
                    <w:pPr>
                      <w:spacing w:after="0" w:line="215" w:lineRule="auto"/>
                      <w:jc w:val="right"/>
                      <w:textDirection w:val="btLr"/>
                    </w:pPr>
                    <w:r>
                      <w:rPr>
                        <w:i/>
                        <w:color w:val="595959"/>
                        <w:sz w:val="16"/>
                      </w:rPr>
                      <w:t xml:space="preserve">Financé par </w:t>
                    </w:r>
                  </w:p>
                </w:txbxContent>
              </v:textbox>
              <w10:wrap anchorx="margin"/>
            </v:rect>
          </w:pict>
        </mc:Fallback>
      </mc:AlternateContent>
    </w:r>
    <w:r w:rsidR="00442992">
      <w:rPr>
        <w:noProof/>
      </w:rPr>
      <w:drawing>
        <wp:anchor distT="0" distB="0" distL="114300" distR="114300" simplePos="0" relativeHeight="251660288" behindDoc="0" locked="0" layoutInCell="1" allowOverlap="1">
          <wp:simplePos x="0" y="0"/>
          <wp:positionH relativeFrom="margin">
            <wp:posOffset>495493</wp:posOffset>
          </wp:positionH>
          <wp:positionV relativeFrom="paragraph">
            <wp:posOffset>167502</wp:posOffset>
          </wp:positionV>
          <wp:extent cx="742896" cy="366067"/>
          <wp:effectExtent l="0" t="0" r="0" b="0"/>
          <wp:wrapNone/>
          <wp:docPr id="5" name="image10.pn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10.png" descr="Résultat de recherche d'images pour &quot;logo AFD&quot;"/>
                  <pic:cNvPicPr preferRelativeResize="0"/>
                </pic:nvPicPr>
                <pic:blipFill>
                  <a:blip r:embed="rId1"/>
                  <a:srcRect/>
                  <a:stretch>
                    <a:fillRect/>
                  </a:stretch>
                </pic:blipFill>
                <pic:spPr>
                  <a:xfrm>
                    <a:off x="0" y="0"/>
                    <a:ext cx="742896" cy="366067"/>
                  </a:xfrm>
                  <a:prstGeom prst="rect">
                    <a:avLst/>
                  </a:prstGeom>
                  <a:ln/>
                </pic:spPr>
              </pic:pic>
            </a:graphicData>
          </a:graphic>
        </wp:anchor>
      </w:drawing>
    </w:r>
  </w:p>
  <w:p w:rsidR="00376763" w:rsidRDefault="008048B7">
    <w:pPr>
      <w:pBdr>
        <w:top w:val="nil"/>
        <w:left w:val="nil"/>
        <w:bottom w:val="nil"/>
        <w:right w:val="nil"/>
        <w:between w:val="nil"/>
      </w:pBdr>
      <w:tabs>
        <w:tab w:val="center" w:pos="4153"/>
        <w:tab w:val="right" w:pos="8306"/>
      </w:tabs>
      <w:spacing w:after="0" w:line="240" w:lineRule="auto"/>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margin">
                <wp:posOffset>4241800</wp:posOffset>
              </wp:positionH>
              <wp:positionV relativeFrom="paragraph">
                <wp:posOffset>0</wp:posOffset>
              </wp:positionV>
              <wp:extent cx="1114425" cy="266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63" w:rsidRDefault="00376763">
                          <w:pPr>
                            <w:spacing w:after="0" w:line="215" w:lineRule="auto"/>
                            <w:jc w:val="right"/>
                            <w:textDirection w:val="btLr"/>
                          </w:pPr>
                        </w:p>
                      </w:txbxContent>
                    </wps:txbx>
                    <wps:bodyPr rot="0" vert="horz" wrap="square" lIns="91425" tIns="45698" rIns="91425" bIns="45698"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34pt;margin-top:0;width:87.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" filled="f" stroked="f">
              <v:textbox inset="2.53958mm,1.2694mm,2.53958mm,1.2694mm">
                <w:txbxContent>
                  <w:p w:rsidR="00376763" w:rsidRDefault="00376763">
                    <w:pPr>
                      <w:spacing w:after="0" w:line="215" w:lineRule="auto"/>
                      <w:jc w:val="right"/>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4C" w:rsidRDefault="006A704C">
      <w:pPr>
        <w:spacing w:after="0" w:line="240" w:lineRule="auto"/>
      </w:pPr>
      <w:r>
        <w:separator/>
      </w:r>
    </w:p>
  </w:footnote>
  <w:footnote w:type="continuationSeparator" w:id="0">
    <w:p w:rsidR="006A704C" w:rsidRDefault="006A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442992">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-634</wp:posOffset>
          </wp:positionV>
          <wp:extent cx="857250" cy="857250"/>
          <wp:effectExtent l="0" t="0" r="0" b="0"/>
          <wp:wrapNone/>
          <wp:docPr id="4" name="image9.jpg" descr="LOGO EXPERTISE FRANCE"/>
          <wp:cNvGraphicFramePr/>
          <a:graphic xmlns:a="http://schemas.openxmlformats.org/drawingml/2006/main">
            <a:graphicData uri="http://schemas.openxmlformats.org/drawingml/2006/picture">
              <pic:pic xmlns:pic="http://schemas.openxmlformats.org/drawingml/2006/picture">
                <pic:nvPicPr>
                  <pic:cNvPr id="0" name="image9.jpg" descr="LOGO EXPERTISE FRANCE"/>
                  <pic:cNvPicPr preferRelativeResize="0"/>
                </pic:nvPicPr>
                <pic:blipFill>
                  <a:blip r:embed="rId1"/>
                  <a:srcRect/>
                  <a:stretch>
                    <a:fillRect/>
                  </a:stretch>
                </pic:blipFill>
                <pic:spPr>
                  <a:xfrm>
                    <a:off x="0" y="0"/>
                    <a:ext cx="857250" cy="857250"/>
                  </a:xfrm>
                  <a:prstGeom prst="rect">
                    <a:avLst/>
                  </a:prstGeom>
                  <a:ln/>
                </pic:spPr>
              </pic:pic>
            </a:graphicData>
          </a:graphic>
        </wp:anchor>
      </w:drawing>
    </w:r>
  </w:p>
  <w:p w:rsidR="00376763" w:rsidRDefault="00376763">
    <w:pPr>
      <w:pBdr>
        <w:top w:val="nil"/>
        <w:left w:val="nil"/>
        <w:bottom w:val="nil"/>
        <w:right w:val="nil"/>
        <w:between w:val="nil"/>
      </w:pBdr>
      <w:tabs>
        <w:tab w:val="center" w:pos="4153"/>
        <w:tab w:val="right" w:pos="8306"/>
      </w:tabs>
      <w:spacing w:after="0" w:line="240" w:lineRule="auto"/>
      <w:rPr>
        <w:color w:val="000000"/>
      </w:rPr>
    </w:pPr>
  </w:p>
  <w:p w:rsidR="00376763" w:rsidRDefault="00442992">
    <w:pPr>
      <w:pBdr>
        <w:top w:val="nil"/>
        <w:left w:val="nil"/>
        <w:bottom w:val="nil"/>
        <w:right w:val="nil"/>
        <w:between w:val="nil"/>
      </w:pBdr>
      <w:tabs>
        <w:tab w:val="left" w:pos="2605"/>
      </w:tabs>
      <w:spacing w:after="0" w:line="240" w:lineRule="auto"/>
      <w:rPr>
        <w:color w:val="000000"/>
      </w:rPr>
    </w:pPr>
    <w:r>
      <w:rPr>
        <w:color w:val="000000"/>
      </w:rPr>
      <w:tab/>
    </w:r>
  </w:p>
  <w:p w:rsidR="00376763" w:rsidRDefault="00442992">
    <w:pPr>
      <w:pBdr>
        <w:top w:val="nil"/>
        <w:left w:val="nil"/>
        <w:bottom w:val="nil"/>
        <w:right w:val="nil"/>
        <w:between w:val="nil"/>
      </w:pBdr>
      <w:tabs>
        <w:tab w:val="left" w:pos="7037"/>
      </w:tabs>
      <w:spacing w:after="0" w:line="240" w:lineRule="auto"/>
      <w:rPr>
        <w:color w:val="000000"/>
      </w:rPr>
    </w:pPr>
    <w:r>
      <w:rPr>
        <w:color w:val="000000"/>
      </w:rPr>
      <w:tab/>
    </w:r>
  </w:p>
  <w:p w:rsidR="00376763" w:rsidRDefault="00376763">
    <w:pPr>
      <w:pBdr>
        <w:top w:val="nil"/>
        <w:left w:val="nil"/>
        <w:bottom w:val="nil"/>
        <w:right w:val="nil"/>
        <w:between w:val="nil"/>
      </w:pBdr>
      <w:tabs>
        <w:tab w:val="center" w:pos="4153"/>
        <w:tab w:val="right" w:pos="8306"/>
      </w:tabs>
      <w:spacing w:after="0" w:line="240" w:lineRule="auto"/>
      <w:rPr>
        <w:color w:val="000000"/>
      </w:rPr>
    </w:pPr>
  </w:p>
  <w:p w:rsidR="00376763" w:rsidRDefault="0037676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63A1ABA"/>
    <w:multiLevelType w:val="hybridMultilevel"/>
    <w:tmpl w:val="FB384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DA4C0B"/>
    <w:multiLevelType w:val="hybridMultilevel"/>
    <w:tmpl w:val="95E02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90AAA"/>
    <w:multiLevelType w:val="hybridMultilevel"/>
    <w:tmpl w:val="C5D65E4C"/>
    <w:lvl w:ilvl="0" w:tplc="7F84489A">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A2390"/>
    <w:multiLevelType w:val="hybridMultilevel"/>
    <w:tmpl w:val="A3AC7BC6"/>
    <w:lvl w:ilvl="0" w:tplc="C098051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B259CA"/>
    <w:multiLevelType w:val="multilevel"/>
    <w:tmpl w:val="BE0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75706"/>
    <w:multiLevelType w:val="hybridMultilevel"/>
    <w:tmpl w:val="F016062A"/>
    <w:lvl w:ilvl="0" w:tplc="06D8C9F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77F15"/>
    <w:multiLevelType w:val="multilevel"/>
    <w:tmpl w:val="1E82A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771A82"/>
    <w:multiLevelType w:val="hybridMultilevel"/>
    <w:tmpl w:val="F950F80E"/>
    <w:lvl w:ilvl="0" w:tplc="9934F0F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3E2948"/>
    <w:multiLevelType w:val="multilevel"/>
    <w:tmpl w:val="D4568B9C"/>
    <w:lvl w:ilvl="0">
      <w:start w:val="1"/>
      <w:numFmt w:val="bullet"/>
      <w:lvlText w:val="▪"/>
      <w:lvlJc w:val="left"/>
      <w:pPr>
        <w:ind w:left="720" w:hanging="360"/>
      </w:pPr>
      <w:rPr>
        <w:rFonts w:ascii="Noto Sans Symbols" w:eastAsia="Noto Sans Symbols" w:hAnsi="Noto Sans Symbols" w:cs="Noto Sans Symbols"/>
        <w:b w:val="0"/>
        <w:i w:val="0"/>
        <w:color w:val="ADADA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871391"/>
    <w:multiLevelType w:val="hybridMultilevel"/>
    <w:tmpl w:val="EEBE8EB6"/>
    <w:lvl w:ilvl="0" w:tplc="95D6B69C">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3"/>
  </w:num>
  <w:num w:numId="5">
    <w:abstractNumId w:val="7"/>
  </w:num>
  <w:num w:numId="6">
    <w:abstractNumId w:val="6"/>
  </w:num>
  <w:num w:numId="7">
    <w:abstractNumId w:val="9"/>
  </w:num>
  <w:num w:numId="8">
    <w:abstractNumId w:val="1"/>
  </w:num>
  <w:num w:numId="9">
    <w:abstractNumId w:val="5"/>
  </w:num>
  <w:num w:numId="10">
    <w:abstractNumId w:val="11"/>
  </w:num>
  <w:num w:numId="11">
    <w:abstractNumId w:val="4"/>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63"/>
    <w:rsid w:val="0003032C"/>
    <w:rsid w:val="00047305"/>
    <w:rsid w:val="00050735"/>
    <w:rsid w:val="00057EBC"/>
    <w:rsid w:val="00065D41"/>
    <w:rsid w:val="00071955"/>
    <w:rsid w:val="000D6C2B"/>
    <w:rsid w:val="00111CCE"/>
    <w:rsid w:val="0013498C"/>
    <w:rsid w:val="00151A10"/>
    <w:rsid w:val="00152B16"/>
    <w:rsid w:val="001B4EC9"/>
    <w:rsid w:val="001D1BCD"/>
    <w:rsid w:val="001E16DB"/>
    <w:rsid w:val="00246165"/>
    <w:rsid w:val="002720F0"/>
    <w:rsid w:val="002A16FE"/>
    <w:rsid w:val="002C3AF4"/>
    <w:rsid w:val="002D0CCA"/>
    <w:rsid w:val="002D3FD6"/>
    <w:rsid w:val="002E0155"/>
    <w:rsid w:val="00322706"/>
    <w:rsid w:val="00346FCB"/>
    <w:rsid w:val="00352A27"/>
    <w:rsid w:val="00376763"/>
    <w:rsid w:val="003A206F"/>
    <w:rsid w:val="003C764F"/>
    <w:rsid w:val="00442992"/>
    <w:rsid w:val="00443506"/>
    <w:rsid w:val="004651D7"/>
    <w:rsid w:val="00472614"/>
    <w:rsid w:val="004807B4"/>
    <w:rsid w:val="00483E54"/>
    <w:rsid w:val="00484C2C"/>
    <w:rsid w:val="00485059"/>
    <w:rsid w:val="00492EB8"/>
    <w:rsid w:val="00493798"/>
    <w:rsid w:val="004A1C5C"/>
    <w:rsid w:val="004A310F"/>
    <w:rsid w:val="004D3BF8"/>
    <w:rsid w:val="004D62AB"/>
    <w:rsid w:val="00576947"/>
    <w:rsid w:val="00592F61"/>
    <w:rsid w:val="00593925"/>
    <w:rsid w:val="005D04CF"/>
    <w:rsid w:val="005E28AF"/>
    <w:rsid w:val="005F0298"/>
    <w:rsid w:val="00624667"/>
    <w:rsid w:val="00662A55"/>
    <w:rsid w:val="006656A4"/>
    <w:rsid w:val="0067422D"/>
    <w:rsid w:val="006907F4"/>
    <w:rsid w:val="006A1D5E"/>
    <w:rsid w:val="006A5148"/>
    <w:rsid w:val="006A704C"/>
    <w:rsid w:val="006C2455"/>
    <w:rsid w:val="00703BF3"/>
    <w:rsid w:val="007122D6"/>
    <w:rsid w:val="007234F4"/>
    <w:rsid w:val="00731497"/>
    <w:rsid w:val="007563AB"/>
    <w:rsid w:val="007676CF"/>
    <w:rsid w:val="00782509"/>
    <w:rsid w:val="00794B8B"/>
    <w:rsid w:val="007B250B"/>
    <w:rsid w:val="007B443B"/>
    <w:rsid w:val="007B4D50"/>
    <w:rsid w:val="007F53C7"/>
    <w:rsid w:val="008048B7"/>
    <w:rsid w:val="00806AE2"/>
    <w:rsid w:val="008206F3"/>
    <w:rsid w:val="008562CC"/>
    <w:rsid w:val="0087692D"/>
    <w:rsid w:val="008C102A"/>
    <w:rsid w:val="008E0A5A"/>
    <w:rsid w:val="008E67B7"/>
    <w:rsid w:val="00910B71"/>
    <w:rsid w:val="00930D6A"/>
    <w:rsid w:val="0096491A"/>
    <w:rsid w:val="009976E8"/>
    <w:rsid w:val="009B7009"/>
    <w:rsid w:val="009E2A0C"/>
    <w:rsid w:val="009E5104"/>
    <w:rsid w:val="00A02A6B"/>
    <w:rsid w:val="00A8429E"/>
    <w:rsid w:val="00A849FE"/>
    <w:rsid w:val="00AC0D0D"/>
    <w:rsid w:val="00AC6390"/>
    <w:rsid w:val="00AD1326"/>
    <w:rsid w:val="00AD6A34"/>
    <w:rsid w:val="00AE31FC"/>
    <w:rsid w:val="00AF1EA0"/>
    <w:rsid w:val="00B17D68"/>
    <w:rsid w:val="00B261BB"/>
    <w:rsid w:val="00B345BE"/>
    <w:rsid w:val="00B53814"/>
    <w:rsid w:val="00B618F6"/>
    <w:rsid w:val="00B661EA"/>
    <w:rsid w:val="00B90751"/>
    <w:rsid w:val="00BA25A0"/>
    <w:rsid w:val="00BA593C"/>
    <w:rsid w:val="00BB278E"/>
    <w:rsid w:val="00BC3F2F"/>
    <w:rsid w:val="00BC6DBB"/>
    <w:rsid w:val="00BE376F"/>
    <w:rsid w:val="00BF046F"/>
    <w:rsid w:val="00C21392"/>
    <w:rsid w:val="00C2279C"/>
    <w:rsid w:val="00C52EFD"/>
    <w:rsid w:val="00C77225"/>
    <w:rsid w:val="00C8645C"/>
    <w:rsid w:val="00C90BD9"/>
    <w:rsid w:val="00C97336"/>
    <w:rsid w:val="00CA4756"/>
    <w:rsid w:val="00CB6B65"/>
    <w:rsid w:val="00CC065A"/>
    <w:rsid w:val="00CC6C4F"/>
    <w:rsid w:val="00CE5BAD"/>
    <w:rsid w:val="00CF49A2"/>
    <w:rsid w:val="00CF4A0B"/>
    <w:rsid w:val="00D01988"/>
    <w:rsid w:val="00D0706A"/>
    <w:rsid w:val="00D227A7"/>
    <w:rsid w:val="00D63AFE"/>
    <w:rsid w:val="00D76E76"/>
    <w:rsid w:val="00D92B22"/>
    <w:rsid w:val="00DC3A8D"/>
    <w:rsid w:val="00DD447F"/>
    <w:rsid w:val="00E224A5"/>
    <w:rsid w:val="00E70B19"/>
    <w:rsid w:val="00E87210"/>
    <w:rsid w:val="00EB16E0"/>
    <w:rsid w:val="00EC58B4"/>
    <w:rsid w:val="00F348BB"/>
    <w:rsid w:val="00F35448"/>
    <w:rsid w:val="00F521AA"/>
    <w:rsid w:val="00F76A98"/>
    <w:rsid w:val="00F90933"/>
    <w:rsid w:val="00FA3DB1"/>
    <w:rsid w:val="00FA4553"/>
    <w:rsid w:val="00FA6270"/>
    <w:rsid w:val="00FA7476"/>
    <w:rsid w:val="00FB62DC"/>
    <w:rsid w:val="00FB754B"/>
    <w:rsid w:val="00FD34D6"/>
    <w:rsid w:val="00FE7E8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4D1EC1-D1C9-4C79-B22A-54C8751F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4CF"/>
  </w:style>
  <w:style w:type="paragraph" w:styleId="Titre1">
    <w:name w:val="heading 1"/>
    <w:basedOn w:val="Normal"/>
    <w:next w:val="Normal"/>
    <w:rsid w:val="00CC065A"/>
    <w:pPr>
      <w:keepNext/>
      <w:keepLines/>
      <w:spacing w:before="240" w:after="0"/>
      <w:outlineLvl w:val="0"/>
    </w:pPr>
    <w:rPr>
      <w:color w:val="2E75B5"/>
      <w:sz w:val="32"/>
      <w:szCs w:val="32"/>
    </w:rPr>
  </w:style>
  <w:style w:type="paragraph" w:styleId="Titre2">
    <w:name w:val="heading 2"/>
    <w:basedOn w:val="Normal"/>
    <w:next w:val="Normal"/>
    <w:rsid w:val="00CC065A"/>
    <w:pPr>
      <w:keepNext/>
      <w:keepLines/>
      <w:spacing w:before="360" w:after="80"/>
      <w:outlineLvl w:val="1"/>
    </w:pPr>
    <w:rPr>
      <w:b/>
      <w:sz w:val="36"/>
      <w:szCs w:val="36"/>
    </w:rPr>
  </w:style>
  <w:style w:type="paragraph" w:styleId="Titre3">
    <w:name w:val="heading 3"/>
    <w:basedOn w:val="Normal"/>
    <w:next w:val="Normal"/>
    <w:rsid w:val="00CC065A"/>
    <w:pPr>
      <w:keepNext/>
      <w:keepLines/>
      <w:spacing w:before="280" w:after="80"/>
      <w:outlineLvl w:val="2"/>
    </w:pPr>
    <w:rPr>
      <w:b/>
      <w:sz w:val="28"/>
      <w:szCs w:val="28"/>
    </w:rPr>
  </w:style>
  <w:style w:type="paragraph" w:styleId="Titre4">
    <w:name w:val="heading 4"/>
    <w:basedOn w:val="Normal"/>
    <w:next w:val="Normal"/>
    <w:rsid w:val="00CC065A"/>
    <w:pPr>
      <w:keepNext/>
      <w:keepLines/>
      <w:spacing w:before="240" w:after="40"/>
      <w:outlineLvl w:val="3"/>
    </w:pPr>
    <w:rPr>
      <w:b/>
      <w:sz w:val="24"/>
      <w:szCs w:val="24"/>
    </w:rPr>
  </w:style>
  <w:style w:type="paragraph" w:styleId="Titre5">
    <w:name w:val="heading 5"/>
    <w:basedOn w:val="Normal"/>
    <w:next w:val="Normal"/>
    <w:rsid w:val="00CC065A"/>
    <w:pPr>
      <w:keepNext/>
      <w:keepLines/>
      <w:spacing w:before="220" w:after="40"/>
      <w:outlineLvl w:val="4"/>
    </w:pPr>
    <w:rPr>
      <w:b/>
    </w:rPr>
  </w:style>
  <w:style w:type="paragraph" w:styleId="Titre6">
    <w:name w:val="heading 6"/>
    <w:basedOn w:val="Normal"/>
    <w:next w:val="Normal"/>
    <w:rsid w:val="00CC065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C065A"/>
    <w:tblPr>
      <w:tblCellMar>
        <w:top w:w="0" w:type="dxa"/>
        <w:left w:w="0" w:type="dxa"/>
        <w:bottom w:w="0" w:type="dxa"/>
        <w:right w:w="0" w:type="dxa"/>
      </w:tblCellMar>
    </w:tblPr>
  </w:style>
  <w:style w:type="paragraph" w:styleId="Titre">
    <w:name w:val="Title"/>
    <w:basedOn w:val="Normal"/>
    <w:next w:val="Normal"/>
    <w:rsid w:val="00CC065A"/>
    <w:pPr>
      <w:keepNext/>
      <w:keepLines/>
      <w:spacing w:before="480" w:after="120"/>
    </w:pPr>
    <w:rPr>
      <w:b/>
      <w:sz w:val="72"/>
      <w:szCs w:val="72"/>
    </w:rPr>
  </w:style>
  <w:style w:type="paragraph" w:styleId="Sous-titre">
    <w:name w:val="Subtitle"/>
    <w:basedOn w:val="Normal"/>
    <w:next w:val="Normal"/>
    <w:rsid w:val="00CC065A"/>
    <w:pPr>
      <w:keepNext/>
      <w:keepLines/>
      <w:spacing w:before="360" w:after="80"/>
    </w:pPr>
    <w:rPr>
      <w:rFonts w:ascii="Georgia" w:eastAsia="Georgia" w:hAnsi="Georgia" w:cs="Georgia"/>
      <w:i/>
      <w:color w:val="666666"/>
      <w:sz w:val="48"/>
      <w:szCs w:val="48"/>
    </w:rPr>
  </w:style>
  <w:style w:type="table" w:customStyle="1" w:styleId="a">
    <w:basedOn w:val="TableNormal"/>
    <w:rsid w:val="00CC065A"/>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Commentaire">
    <w:name w:val="annotation text"/>
    <w:basedOn w:val="Normal"/>
    <w:link w:val="CommentaireCar"/>
    <w:uiPriority w:val="99"/>
    <w:semiHidden/>
    <w:unhideWhenUsed/>
    <w:rsid w:val="00CC065A"/>
    <w:pPr>
      <w:spacing w:line="240" w:lineRule="auto"/>
    </w:pPr>
    <w:rPr>
      <w:sz w:val="20"/>
      <w:szCs w:val="20"/>
    </w:rPr>
  </w:style>
  <w:style w:type="character" w:customStyle="1" w:styleId="CommentaireCar">
    <w:name w:val="Commentaire Car"/>
    <w:basedOn w:val="Policepardfaut"/>
    <w:link w:val="Commentaire"/>
    <w:uiPriority w:val="99"/>
    <w:semiHidden/>
    <w:rsid w:val="00CC065A"/>
    <w:rPr>
      <w:sz w:val="20"/>
      <w:szCs w:val="20"/>
    </w:rPr>
  </w:style>
  <w:style w:type="character" w:styleId="Marquedecommentaire">
    <w:name w:val="annotation reference"/>
    <w:basedOn w:val="Policepardfaut"/>
    <w:uiPriority w:val="99"/>
    <w:semiHidden/>
    <w:unhideWhenUsed/>
    <w:rsid w:val="00CC065A"/>
    <w:rPr>
      <w:sz w:val="16"/>
      <w:szCs w:val="16"/>
    </w:rPr>
  </w:style>
  <w:style w:type="paragraph" w:styleId="Textedebulles">
    <w:name w:val="Balloon Text"/>
    <w:basedOn w:val="Normal"/>
    <w:link w:val="TextedebullesCar"/>
    <w:uiPriority w:val="99"/>
    <w:semiHidden/>
    <w:unhideWhenUsed/>
    <w:rsid w:val="00FA3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DB1"/>
    <w:rPr>
      <w:rFonts w:ascii="Segoe UI" w:hAnsi="Segoe UI" w:cs="Segoe UI"/>
      <w:sz w:val="18"/>
      <w:szCs w:val="18"/>
    </w:rPr>
  </w:style>
  <w:style w:type="paragraph" w:styleId="Paragraphedeliste">
    <w:name w:val="List Paragraph"/>
    <w:aliases w:val="Indent Paragraph,Lettre d'introduction,Paragraphe de liste PBLH,Graph &amp; Table tite,Bullet Points,Liste Paragraf,Llista Nivell1,Lista de nivel 1,References,List_Paragraph,Multilevel para_II,Lapis Bulleted List,Citation List,lp1"/>
    <w:basedOn w:val="Normal"/>
    <w:link w:val="ParagraphedelisteCar"/>
    <w:uiPriority w:val="34"/>
    <w:qFormat/>
    <w:rsid w:val="00442992"/>
    <w:pPr>
      <w:ind w:left="720"/>
      <w:contextualSpacing/>
    </w:pPr>
  </w:style>
  <w:style w:type="paragraph" w:styleId="En-tte">
    <w:name w:val="header"/>
    <w:basedOn w:val="Normal"/>
    <w:link w:val="En-tteCar"/>
    <w:uiPriority w:val="99"/>
    <w:unhideWhenUsed/>
    <w:rsid w:val="004A1C5C"/>
    <w:pPr>
      <w:tabs>
        <w:tab w:val="center" w:pos="4536"/>
        <w:tab w:val="right" w:pos="9072"/>
      </w:tabs>
      <w:spacing w:after="0" w:line="240" w:lineRule="auto"/>
    </w:pPr>
  </w:style>
  <w:style w:type="character" w:customStyle="1" w:styleId="En-tteCar">
    <w:name w:val="En-tête Car"/>
    <w:basedOn w:val="Policepardfaut"/>
    <w:link w:val="En-tte"/>
    <w:uiPriority w:val="99"/>
    <w:rsid w:val="004A1C5C"/>
  </w:style>
  <w:style w:type="paragraph" w:styleId="Pieddepage">
    <w:name w:val="footer"/>
    <w:basedOn w:val="Normal"/>
    <w:link w:val="PieddepageCar"/>
    <w:uiPriority w:val="99"/>
    <w:unhideWhenUsed/>
    <w:rsid w:val="004A1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C5C"/>
  </w:style>
  <w:style w:type="paragraph" w:styleId="NormalWeb">
    <w:name w:val="Normal (Web)"/>
    <w:basedOn w:val="Normal"/>
    <w:unhideWhenUsed/>
    <w:rsid w:val="001D1BC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D1BCD"/>
    <w:rPr>
      <w:b/>
      <w:bCs/>
    </w:rPr>
  </w:style>
  <w:style w:type="paragraph" w:styleId="Objetducommentaire">
    <w:name w:val="annotation subject"/>
    <w:basedOn w:val="Commentaire"/>
    <w:next w:val="Commentaire"/>
    <w:link w:val="ObjetducommentaireCar"/>
    <w:uiPriority w:val="99"/>
    <w:semiHidden/>
    <w:unhideWhenUsed/>
    <w:rsid w:val="005E28AF"/>
    <w:rPr>
      <w:b/>
      <w:bCs/>
    </w:rPr>
  </w:style>
  <w:style w:type="character" w:customStyle="1" w:styleId="ObjetducommentaireCar">
    <w:name w:val="Objet du commentaire Car"/>
    <w:basedOn w:val="CommentaireCar"/>
    <w:link w:val="Objetducommentaire"/>
    <w:uiPriority w:val="99"/>
    <w:semiHidden/>
    <w:rsid w:val="005E28AF"/>
    <w:rPr>
      <w:b/>
      <w:bCs/>
      <w:sz w:val="20"/>
      <w:szCs w:val="20"/>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Citation List Car"/>
    <w:link w:val="Paragraphedeliste"/>
    <w:uiPriority w:val="34"/>
    <w:locked/>
    <w:rsid w:val="00576947"/>
  </w:style>
  <w:style w:type="paragraph" w:customStyle="1" w:styleId="Default">
    <w:name w:val="Default"/>
    <w:rsid w:val="002720F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D0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gof.tn@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BECLE</dc:creator>
  <cp:lastModifiedBy>Emilie BECLE</cp:lastModifiedBy>
  <cp:revision>7</cp:revision>
  <dcterms:created xsi:type="dcterms:W3CDTF">2020-04-21T13:33:00Z</dcterms:created>
  <dcterms:modified xsi:type="dcterms:W3CDTF">2020-06-02T07:49:00Z</dcterms:modified>
</cp:coreProperties>
</file>